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38CED1B" w14:textId="77777777" w:rsidR="006F786F" w:rsidRDefault="009F398A" w:rsidP="006F786F">
      <w:pPr>
        <w:pStyle w:val="Essay"/>
      </w:pPr>
      <w:r>
        <w:rPr>
          <w:noProof/>
          <w:lang w:eastAsia="en-IE"/>
        </w:rPr>
        <w:pict w14:anchorId="2FBD8CC7">
          <v:shapetype id="_x0000_t202" coordsize="21600,21600" o:spt="202" path="m0,0l0,21600,21600,21600,21600,0xe">
            <v:stroke joinstyle="miter"/>
            <v:path gradientshapeok="t" o:connecttype="rect"/>
          </v:shapetype>
          <v:shape id="_x0000_s1026" type="#_x0000_t202" style="position:absolute;margin-left:-76.5pt;margin-top:-60pt;width:672.75pt;height:72.75pt;z-index:251658240;mso-width-relative:margin;mso-height-relative:margin">
            <v:textbox>
              <w:txbxContent>
                <w:p w14:paraId="15CE8B48" w14:textId="77777777" w:rsidR="006F786F" w:rsidRDefault="006F786F" w:rsidP="006F786F">
                  <w:r>
                    <w:t xml:space="preserve">    </w:t>
                  </w:r>
                  <w:r>
                    <w:rPr>
                      <w:noProof/>
                      <w:lang w:val="en-US"/>
                    </w:rPr>
                    <w:drawing>
                      <wp:inline distT="0" distB="0" distL="0" distR="0" wp14:anchorId="741B9CC7" wp14:editId="625A75F4">
                        <wp:extent cx="2181225" cy="667794"/>
                        <wp:effectExtent l="19050" t="0" r="0" b="0"/>
                        <wp:docPr id="3" name="Picture 2" descr="oxford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 crest.png"/>
                                <pic:cNvPicPr/>
                              </pic:nvPicPr>
                              <pic:blipFill>
                                <a:blip r:embed="rId5"/>
                                <a:stretch>
                                  <a:fillRect/>
                                </a:stretch>
                              </pic:blipFill>
                              <pic:spPr>
                                <a:xfrm>
                                  <a:off x="0" y="0"/>
                                  <a:ext cx="2191904" cy="671064"/>
                                </a:xfrm>
                                <a:prstGeom prst="rect">
                                  <a:avLst/>
                                </a:prstGeom>
                              </pic:spPr>
                            </pic:pic>
                          </a:graphicData>
                        </a:graphic>
                      </wp:inline>
                    </w:drawing>
                  </w:r>
                  <w:r>
                    <w:t xml:space="preserve">       </w:t>
                  </w:r>
                  <w:r w:rsidRPr="00A41140">
                    <w:rPr>
                      <w:noProof/>
                      <w:lang w:val="en-US"/>
                    </w:rPr>
                    <w:drawing>
                      <wp:inline distT="0" distB="0" distL="0" distR="0" wp14:anchorId="436BEEA0" wp14:editId="1EAE59ED">
                        <wp:extent cx="1933575" cy="692421"/>
                        <wp:effectExtent l="19050" t="0" r="0" b="0"/>
                        <wp:docPr id="9" name="Picture 3" descr="TOR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CH logo.jpg"/>
                                <pic:cNvPicPr/>
                              </pic:nvPicPr>
                              <pic:blipFill>
                                <a:blip r:embed="rId6"/>
                                <a:stretch>
                                  <a:fillRect/>
                                </a:stretch>
                              </pic:blipFill>
                              <pic:spPr>
                                <a:xfrm>
                                  <a:off x="0" y="0"/>
                                  <a:ext cx="1950351" cy="698429"/>
                                </a:xfrm>
                                <a:prstGeom prst="rect">
                                  <a:avLst/>
                                </a:prstGeom>
                              </pic:spPr>
                            </pic:pic>
                          </a:graphicData>
                        </a:graphic>
                      </wp:inline>
                    </w:drawing>
                  </w:r>
                  <w:r>
                    <w:t xml:space="preserve">        </w:t>
                  </w:r>
                  <w:r w:rsidRPr="00A41140">
                    <w:rPr>
                      <w:noProof/>
                      <w:lang w:val="en-US"/>
                    </w:rPr>
                    <w:drawing>
                      <wp:inline distT="0" distB="0" distL="0" distR="0" wp14:anchorId="21BC9EDC" wp14:editId="5C271584">
                        <wp:extent cx="1359212" cy="699130"/>
                        <wp:effectExtent l="19050" t="0" r="0" b="0"/>
                        <wp:docPr id="7" name="Picture 4" descr="centre for global 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 for global history.jpg"/>
                                <pic:cNvPicPr/>
                              </pic:nvPicPr>
                              <pic:blipFill>
                                <a:blip r:embed="rId7"/>
                                <a:stretch>
                                  <a:fillRect/>
                                </a:stretch>
                              </pic:blipFill>
                              <pic:spPr>
                                <a:xfrm>
                                  <a:off x="0" y="0"/>
                                  <a:ext cx="1382326" cy="711019"/>
                                </a:xfrm>
                                <a:prstGeom prst="rect">
                                  <a:avLst/>
                                </a:prstGeom>
                              </pic:spPr>
                            </pic:pic>
                          </a:graphicData>
                        </a:graphic>
                      </wp:inline>
                    </w:drawing>
                  </w:r>
                  <w:r>
                    <w:t xml:space="preserve">         </w:t>
                  </w:r>
                  <w:r>
                    <w:rPr>
                      <w:noProof/>
                      <w:lang w:val="en-US"/>
                    </w:rPr>
                    <w:drawing>
                      <wp:inline distT="0" distB="0" distL="0" distR="0" wp14:anchorId="6271609D" wp14:editId="329443F3">
                        <wp:extent cx="755825" cy="695325"/>
                        <wp:effectExtent l="19050" t="0" r="6175" b="0"/>
                        <wp:docPr id="6" name="Picture 5" descr="CC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W logo.jpg"/>
                                <pic:cNvPicPr/>
                              </pic:nvPicPr>
                              <pic:blipFill>
                                <a:blip r:embed="rId8"/>
                                <a:stretch>
                                  <a:fillRect/>
                                </a:stretch>
                              </pic:blipFill>
                              <pic:spPr>
                                <a:xfrm>
                                  <a:off x="0" y="0"/>
                                  <a:ext cx="774098" cy="712135"/>
                                </a:xfrm>
                                <a:prstGeom prst="rect">
                                  <a:avLst/>
                                </a:prstGeom>
                              </pic:spPr>
                            </pic:pic>
                          </a:graphicData>
                        </a:graphic>
                      </wp:inline>
                    </w:drawing>
                  </w:r>
                </w:p>
              </w:txbxContent>
            </v:textbox>
          </v:shape>
        </w:pict>
      </w:r>
    </w:p>
    <w:p w14:paraId="7070F4E8" w14:textId="77777777" w:rsidR="006F786F" w:rsidRDefault="006F786F" w:rsidP="006F786F">
      <w:pPr>
        <w:pStyle w:val="Essay"/>
      </w:pPr>
    </w:p>
    <w:p w14:paraId="387048CA" w14:textId="77777777" w:rsidR="006F786F" w:rsidRDefault="006F786F" w:rsidP="006F786F">
      <w:pPr>
        <w:pStyle w:val="Essay"/>
        <w:tabs>
          <w:tab w:val="left" w:pos="5220"/>
        </w:tabs>
      </w:pPr>
      <w:r>
        <w:tab/>
      </w:r>
    </w:p>
    <w:p w14:paraId="46A5456C" w14:textId="77777777" w:rsidR="00F46B01" w:rsidRPr="006F786F" w:rsidRDefault="006F786F" w:rsidP="006F786F">
      <w:pPr>
        <w:pStyle w:val="Essay"/>
        <w:jc w:val="center"/>
        <w:rPr>
          <w:b/>
          <w:sz w:val="32"/>
          <w:szCs w:val="32"/>
        </w:rPr>
      </w:pPr>
      <w:r w:rsidRPr="006F786F">
        <w:rPr>
          <w:b/>
          <w:sz w:val="32"/>
          <w:szCs w:val="32"/>
        </w:rPr>
        <w:t>GLOBALISING AND LOCALISING THE GREAT WAR</w:t>
      </w:r>
      <w:r w:rsidRPr="006F786F">
        <w:rPr>
          <w:b/>
          <w:sz w:val="32"/>
          <w:szCs w:val="32"/>
        </w:rPr>
        <w:br/>
      </w:r>
      <w:r w:rsidRPr="006F786F">
        <w:rPr>
          <w:b/>
          <w:sz w:val="28"/>
          <w:szCs w:val="28"/>
        </w:rPr>
        <w:t xml:space="preserve">GRADUATE CONFERENCE </w:t>
      </w:r>
    </w:p>
    <w:p w14:paraId="4D652A7B" w14:textId="77777777" w:rsidR="006F786F" w:rsidRPr="006F786F" w:rsidRDefault="006F786F" w:rsidP="006F786F">
      <w:pPr>
        <w:pStyle w:val="Essay"/>
        <w:jc w:val="center"/>
        <w:rPr>
          <w:b/>
          <w:sz w:val="28"/>
          <w:szCs w:val="28"/>
        </w:rPr>
      </w:pPr>
      <w:r w:rsidRPr="006F786F">
        <w:rPr>
          <w:b/>
          <w:sz w:val="28"/>
          <w:szCs w:val="28"/>
        </w:rPr>
        <w:t>UNIVERSITY OF OXFORD</w:t>
      </w:r>
    </w:p>
    <w:p w14:paraId="3D1BA041" w14:textId="77777777" w:rsidR="006F786F" w:rsidRDefault="006F786F" w:rsidP="006F786F">
      <w:pPr>
        <w:pStyle w:val="Essay"/>
        <w:jc w:val="center"/>
        <w:rPr>
          <w:b/>
          <w:sz w:val="28"/>
          <w:szCs w:val="28"/>
        </w:rPr>
      </w:pPr>
      <w:r w:rsidRPr="006F786F">
        <w:rPr>
          <w:b/>
          <w:sz w:val="28"/>
          <w:szCs w:val="28"/>
        </w:rPr>
        <w:t>20 MARCH 2015</w:t>
      </w:r>
    </w:p>
    <w:p w14:paraId="67DFA2D8" w14:textId="77777777" w:rsidR="006F786F" w:rsidRDefault="006F786F" w:rsidP="006F786F">
      <w:pPr>
        <w:pStyle w:val="Essay"/>
        <w:jc w:val="center"/>
        <w:rPr>
          <w:b/>
          <w:sz w:val="24"/>
          <w:szCs w:val="24"/>
        </w:rPr>
      </w:pPr>
    </w:p>
    <w:p w14:paraId="09773261" w14:textId="77777777" w:rsidR="00883D12" w:rsidRPr="00883D12" w:rsidRDefault="00883D12" w:rsidP="00883D12">
      <w:pPr>
        <w:pStyle w:val="Essay"/>
        <w:rPr>
          <w:b/>
          <w:sz w:val="24"/>
          <w:szCs w:val="24"/>
        </w:rPr>
      </w:pPr>
      <w:r w:rsidRPr="00883D12">
        <w:rPr>
          <w:b/>
          <w:sz w:val="24"/>
          <w:szCs w:val="24"/>
        </w:rPr>
        <w:t>8.30-9.00: Registration</w:t>
      </w:r>
    </w:p>
    <w:p w14:paraId="3CD47B05" w14:textId="77777777" w:rsidR="00883D12" w:rsidRPr="00883D12" w:rsidRDefault="00883D12" w:rsidP="00883D12">
      <w:pPr>
        <w:pStyle w:val="Essay"/>
        <w:rPr>
          <w:i/>
          <w:sz w:val="24"/>
          <w:szCs w:val="24"/>
        </w:rPr>
      </w:pPr>
      <w:r w:rsidRPr="00883D12">
        <w:rPr>
          <w:i/>
          <w:sz w:val="24"/>
          <w:szCs w:val="24"/>
        </w:rPr>
        <w:t>Common Room</w:t>
      </w:r>
    </w:p>
    <w:p w14:paraId="3E80491B" w14:textId="77777777" w:rsidR="00883D12" w:rsidRPr="00883D12" w:rsidRDefault="00883D12" w:rsidP="00883D12">
      <w:pPr>
        <w:pStyle w:val="Essay"/>
        <w:rPr>
          <w:b/>
          <w:i/>
          <w:sz w:val="24"/>
          <w:szCs w:val="24"/>
        </w:rPr>
      </w:pPr>
    </w:p>
    <w:p w14:paraId="5A8165ED" w14:textId="77777777" w:rsidR="00883D12" w:rsidRPr="00883D12" w:rsidRDefault="00883D12" w:rsidP="00883D12">
      <w:pPr>
        <w:pStyle w:val="Essay"/>
        <w:rPr>
          <w:b/>
          <w:sz w:val="24"/>
          <w:szCs w:val="24"/>
        </w:rPr>
      </w:pPr>
      <w:r w:rsidRPr="00883D12">
        <w:rPr>
          <w:b/>
          <w:sz w:val="24"/>
          <w:szCs w:val="24"/>
        </w:rPr>
        <w:t>9.00-9.40: KEYNOTE</w:t>
      </w:r>
    </w:p>
    <w:p w14:paraId="31301C20" w14:textId="77777777" w:rsidR="00883D12" w:rsidRPr="00883D12" w:rsidRDefault="00883D12" w:rsidP="00883D12">
      <w:pPr>
        <w:pStyle w:val="Essay"/>
        <w:rPr>
          <w:i/>
          <w:sz w:val="24"/>
          <w:szCs w:val="24"/>
        </w:rPr>
      </w:pPr>
      <w:r w:rsidRPr="00883D12">
        <w:rPr>
          <w:i/>
          <w:sz w:val="24"/>
          <w:szCs w:val="24"/>
        </w:rPr>
        <w:t>Lecture Theatre</w:t>
      </w:r>
    </w:p>
    <w:p w14:paraId="1DB3C81A" w14:textId="77777777" w:rsidR="00883D12" w:rsidRPr="00883D12" w:rsidRDefault="00883D12" w:rsidP="00883D12">
      <w:pPr>
        <w:pStyle w:val="Essay"/>
        <w:rPr>
          <w:sz w:val="24"/>
          <w:szCs w:val="24"/>
        </w:rPr>
      </w:pPr>
      <w:r w:rsidRPr="00883D12">
        <w:rPr>
          <w:sz w:val="24"/>
          <w:szCs w:val="24"/>
        </w:rPr>
        <w:t>‘The Bells of Hell’: What the Soldiers Sang</w:t>
      </w:r>
    </w:p>
    <w:p w14:paraId="15104412" w14:textId="77777777" w:rsidR="00883D12" w:rsidRPr="00883D12" w:rsidRDefault="00883D12" w:rsidP="00883D12">
      <w:pPr>
        <w:pStyle w:val="Essay"/>
        <w:rPr>
          <w:sz w:val="24"/>
          <w:szCs w:val="24"/>
          <w:u w:val="single"/>
        </w:rPr>
      </w:pPr>
      <w:r w:rsidRPr="00883D12">
        <w:rPr>
          <w:sz w:val="24"/>
          <w:szCs w:val="24"/>
          <w:u w:val="single"/>
        </w:rPr>
        <w:t>Sir Stephen Sedley, University of Oxford</w:t>
      </w:r>
    </w:p>
    <w:p w14:paraId="2C1029FA" w14:textId="77777777" w:rsidR="00883D12" w:rsidRPr="00883D12" w:rsidRDefault="00883D12" w:rsidP="00883D12">
      <w:pPr>
        <w:pStyle w:val="Essay"/>
        <w:rPr>
          <w:sz w:val="24"/>
          <w:szCs w:val="24"/>
        </w:rPr>
      </w:pPr>
    </w:p>
    <w:p w14:paraId="03272195" w14:textId="77777777" w:rsidR="00883D12" w:rsidRDefault="00883D12" w:rsidP="00883D12">
      <w:pPr>
        <w:pStyle w:val="Essay"/>
        <w:rPr>
          <w:b/>
          <w:sz w:val="24"/>
          <w:szCs w:val="24"/>
        </w:rPr>
      </w:pPr>
      <w:r w:rsidRPr="00883D12">
        <w:rPr>
          <w:b/>
          <w:sz w:val="24"/>
          <w:szCs w:val="24"/>
        </w:rPr>
        <w:t xml:space="preserve">9.45- 10.40 Panels One &amp; Two </w:t>
      </w:r>
    </w:p>
    <w:p w14:paraId="0F4008BB" w14:textId="77777777" w:rsidR="00883D12" w:rsidRPr="00883D12" w:rsidRDefault="00883D12" w:rsidP="00883D12">
      <w:pPr>
        <w:pStyle w:val="Essay"/>
        <w:rPr>
          <w:b/>
          <w:sz w:val="24"/>
          <w:szCs w:val="24"/>
        </w:rPr>
      </w:pPr>
      <w:r w:rsidRPr="00883D12">
        <w:rPr>
          <w:b/>
          <w:sz w:val="24"/>
          <w:szCs w:val="24"/>
        </w:rPr>
        <w:t xml:space="preserve">Military &amp; Memory: </w:t>
      </w:r>
    </w:p>
    <w:p w14:paraId="269B98DF" w14:textId="77777777" w:rsidR="00883D12" w:rsidRPr="00883D12" w:rsidRDefault="00883D12" w:rsidP="00883D12">
      <w:pPr>
        <w:pStyle w:val="Essay"/>
        <w:rPr>
          <w:b/>
          <w:sz w:val="24"/>
          <w:szCs w:val="24"/>
        </w:rPr>
      </w:pPr>
    </w:p>
    <w:p w14:paraId="3A447090" w14:textId="77777777" w:rsidR="00883D12" w:rsidRPr="00883D12" w:rsidRDefault="00883D12" w:rsidP="00883D12">
      <w:pPr>
        <w:pStyle w:val="Essay"/>
        <w:rPr>
          <w:b/>
          <w:sz w:val="24"/>
          <w:szCs w:val="24"/>
          <w:lang w:val="en-GB"/>
        </w:rPr>
      </w:pPr>
      <w:r w:rsidRPr="00883D12">
        <w:rPr>
          <w:b/>
          <w:sz w:val="24"/>
          <w:szCs w:val="24"/>
          <w:lang w:val="en-GB"/>
        </w:rPr>
        <w:t xml:space="preserve">Military: </w:t>
      </w:r>
    </w:p>
    <w:p w14:paraId="6E9F1E13" w14:textId="77777777" w:rsidR="00883D12" w:rsidRPr="00883D12" w:rsidRDefault="00883D12" w:rsidP="00883D12">
      <w:pPr>
        <w:pStyle w:val="Essay"/>
        <w:rPr>
          <w:sz w:val="24"/>
          <w:szCs w:val="24"/>
          <w:lang w:val="en-GB"/>
        </w:rPr>
      </w:pPr>
      <w:r w:rsidRPr="00883D12">
        <w:rPr>
          <w:sz w:val="24"/>
          <w:szCs w:val="24"/>
          <w:lang w:val="en-GB"/>
        </w:rPr>
        <w:t>Chair – Meighen McCrae</w:t>
      </w:r>
    </w:p>
    <w:p w14:paraId="6951AFF8" w14:textId="77777777" w:rsidR="00883D12" w:rsidRPr="00883D12" w:rsidRDefault="00883D12" w:rsidP="00883D12">
      <w:pPr>
        <w:pStyle w:val="Essay"/>
        <w:rPr>
          <w:i/>
          <w:sz w:val="24"/>
          <w:szCs w:val="24"/>
          <w:lang w:val="en-GB"/>
        </w:rPr>
      </w:pPr>
      <w:r w:rsidRPr="00883D12">
        <w:rPr>
          <w:i/>
          <w:sz w:val="24"/>
          <w:szCs w:val="24"/>
          <w:lang w:val="en-GB"/>
        </w:rPr>
        <w:t>Lecture Theatre</w:t>
      </w:r>
    </w:p>
    <w:p w14:paraId="7DD89AAD" w14:textId="77777777" w:rsidR="00883D12" w:rsidRPr="00883D12" w:rsidRDefault="00883D12" w:rsidP="00883D12">
      <w:pPr>
        <w:pStyle w:val="Essay"/>
        <w:rPr>
          <w:sz w:val="24"/>
          <w:szCs w:val="24"/>
          <w:lang w:val="en-GB"/>
        </w:rPr>
      </w:pPr>
      <w:r w:rsidRPr="00883D12">
        <w:rPr>
          <w:sz w:val="24"/>
          <w:szCs w:val="24"/>
          <w:lang w:val="en-GB"/>
        </w:rPr>
        <w:t>Home and Away – Training the Royal Flying Corps and Royal Air Force, 1914-1918</w:t>
      </w:r>
    </w:p>
    <w:p w14:paraId="79B2DA07" w14:textId="77777777" w:rsidR="00883D12" w:rsidRDefault="00883D12" w:rsidP="00883D12">
      <w:pPr>
        <w:pStyle w:val="Essay"/>
        <w:rPr>
          <w:sz w:val="24"/>
          <w:szCs w:val="24"/>
          <w:u w:val="single"/>
          <w:lang w:val="en-GB"/>
        </w:rPr>
      </w:pPr>
      <w:r w:rsidRPr="00883D12">
        <w:rPr>
          <w:sz w:val="24"/>
          <w:szCs w:val="24"/>
          <w:u w:val="single"/>
          <w:lang w:val="en-GB"/>
        </w:rPr>
        <w:t>Trevor Nash, University of Birmingham</w:t>
      </w:r>
    </w:p>
    <w:p w14:paraId="5D63300F" w14:textId="77777777" w:rsidR="001F2B64" w:rsidRPr="00883D12" w:rsidRDefault="001F2B64" w:rsidP="001F2B64">
      <w:pPr>
        <w:pStyle w:val="Essay"/>
        <w:rPr>
          <w:sz w:val="24"/>
          <w:szCs w:val="24"/>
          <w:u w:val="single"/>
          <w:lang w:val="en-GB"/>
        </w:rPr>
      </w:pPr>
      <w:r w:rsidRPr="00F97D79">
        <w:rPr>
          <w:i/>
          <w:iCs/>
          <w:spacing w:val="-2"/>
          <w:sz w:val="20"/>
          <w:szCs w:val="20"/>
        </w:rPr>
        <w:t>The need to provide trained aircrew for the RFC, RNAS and RAF during the First World War placed enormous pressure on a nascent and immature training system. As the BEF grew, so did the assets of Britain’s Air Service and a concomitant increase in throughput of the training pipeline was required. This could not be achieved solely in Britain and so training was exported, most notably to Canada and Egypt.</w:t>
      </w:r>
    </w:p>
    <w:p w14:paraId="4137907B" w14:textId="77777777" w:rsidR="00883D12" w:rsidRPr="00883D12" w:rsidRDefault="00883D12" w:rsidP="00883D12">
      <w:pPr>
        <w:pStyle w:val="Essay"/>
        <w:rPr>
          <w:bCs/>
          <w:sz w:val="24"/>
          <w:szCs w:val="24"/>
          <w:lang w:val="en-GB"/>
        </w:rPr>
      </w:pPr>
    </w:p>
    <w:p w14:paraId="0BAEA125" w14:textId="77777777" w:rsidR="00883D12" w:rsidRPr="00883D12" w:rsidRDefault="00883D12" w:rsidP="00883D12">
      <w:pPr>
        <w:pStyle w:val="Essay"/>
        <w:rPr>
          <w:bCs/>
          <w:sz w:val="24"/>
          <w:szCs w:val="24"/>
          <w:lang w:val="en-GB"/>
        </w:rPr>
      </w:pPr>
      <w:r w:rsidRPr="00883D12">
        <w:rPr>
          <w:bCs/>
          <w:sz w:val="24"/>
          <w:szCs w:val="24"/>
          <w:lang w:val="en-GB"/>
        </w:rPr>
        <w:t>Empires in the Holy Land: Revising the Palestine Campaign of the First World War</w:t>
      </w:r>
    </w:p>
    <w:p w14:paraId="4568AF7B" w14:textId="77777777" w:rsidR="00883D12" w:rsidRPr="00883D12" w:rsidRDefault="00883D12" w:rsidP="00883D12">
      <w:pPr>
        <w:pStyle w:val="Essay"/>
        <w:rPr>
          <w:bCs/>
          <w:sz w:val="24"/>
          <w:szCs w:val="24"/>
          <w:u w:val="single"/>
          <w:lang w:val="en-GB"/>
        </w:rPr>
      </w:pPr>
      <w:r w:rsidRPr="00883D12">
        <w:rPr>
          <w:bCs/>
          <w:sz w:val="24"/>
          <w:szCs w:val="24"/>
          <w:u w:val="single"/>
          <w:lang w:val="en-GB"/>
        </w:rPr>
        <w:t xml:space="preserve">Elliott </w:t>
      </w:r>
      <w:proofErr w:type="spellStart"/>
      <w:r w:rsidRPr="00883D12">
        <w:rPr>
          <w:bCs/>
          <w:sz w:val="24"/>
          <w:szCs w:val="24"/>
          <w:u w:val="single"/>
          <w:lang w:val="en-GB"/>
        </w:rPr>
        <w:t>Bannan</w:t>
      </w:r>
      <w:proofErr w:type="spellEnd"/>
      <w:r w:rsidRPr="00883D12">
        <w:rPr>
          <w:bCs/>
          <w:sz w:val="24"/>
          <w:szCs w:val="24"/>
          <w:u w:val="single"/>
          <w:lang w:val="en-GB"/>
        </w:rPr>
        <w:t>, University of Oxford</w:t>
      </w:r>
    </w:p>
    <w:p w14:paraId="5C20CD82" w14:textId="77777777" w:rsidR="00883D12" w:rsidRDefault="001F2B64" w:rsidP="00883D12">
      <w:pPr>
        <w:pStyle w:val="Essay"/>
        <w:rPr>
          <w:b/>
          <w:bCs/>
          <w:sz w:val="24"/>
          <w:szCs w:val="24"/>
          <w:lang w:val="en-GB"/>
        </w:rPr>
      </w:pPr>
      <w:r w:rsidRPr="00F97D79">
        <w:rPr>
          <w:i/>
          <w:sz w:val="20"/>
          <w:szCs w:val="20"/>
        </w:rPr>
        <w:t>This paper will be an operational military history of the Palestine campaign during WW1, fought between the Ottoman Empire and the British Empire’s Egyptian Expeditionary Force (EEF). An imperial approach will be coupled with a broadening in emphasis away from the all too common, congratulatory tactical narratives that are dominated by the exploits of mounted units. This paper will demonstrate how the political and strategic machinations of decision-makers in London and Constantinople influenced battlefield outcomes.</w:t>
      </w:r>
    </w:p>
    <w:p w14:paraId="7178ED88" w14:textId="77777777" w:rsidR="001F2B64" w:rsidRPr="00883D12" w:rsidRDefault="001F2B64" w:rsidP="00883D12">
      <w:pPr>
        <w:pStyle w:val="Essay"/>
        <w:rPr>
          <w:b/>
          <w:bCs/>
          <w:sz w:val="24"/>
          <w:szCs w:val="24"/>
          <w:lang w:val="en-GB"/>
        </w:rPr>
      </w:pPr>
    </w:p>
    <w:p w14:paraId="473D7D88" w14:textId="77777777" w:rsidR="009F398A" w:rsidRDefault="00883D12" w:rsidP="00883D12">
      <w:pPr>
        <w:pStyle w:val="Essay"/>
        <w:rPr>
          <w:b/>
          <w:bCs/>
          <w:sz w:val="24"/>
          <w:szCs w:val="24"/>
          <w:lang w:val="en-GB"/>
        </w:rPr>
      </w:pPr>
      <w:r w:rsidRPr="00883D12">
        <w:rPr>
          <w:b/>
          <w:bCs/>
          <w:sz w:val="24"/>
          <w:szCs w:val="24"/>
          <w:lang w:val="en-GB"/>
        </w:rPr>
        <w:t xml:space="preserve">Memory: </w:t>
      </w:r>
    </w:p>
    <w:p w14:paraId="1D059F74" w14:textId="77777777" w:rsidR="00883D12" w:rsidRPr="009F398A" w:rsidRDefault="00883D12" w:rsidP="00883D12">
      <w:pPr>
        <w:pStyle w:val="Essay"/>
        <w:rPr>
          <w:sz w:val="24"/>
          <w:szCs w:val="24"/>
          <w:lang w:val="en-GB"/>
        </w:rPr>
      </w:pPr>
      <w:r w:rsidRPr="009F398A">
        <w:rPr>
          <w:sz w:val="24"/>
          <w:szCs w:val="24"/>
          <w:lang w:val="en-GB"/>
        </w:rPr>
        <w:t>Chair – Ashley Garber</w:t>
      </w:r>
    </w:p>
    <w:p w14:paraId="7BC2DED5" w14:textId="77777777" w:rsidR="00883D12" w:rsidRPr="00883D12" w:rsidRDefault="001F2B64" w:rsidP="00883D12">
      <w:pPr>
        <w:pStyle w:val="Essay"/>
        <w:rPr>
          <w:bCs/>
          <w:i/>
          <w:sz w:val="24"/>
          <w:szCs w:val="24"/>
          <w:lang w:val="en-GB"/>
        </w:rPr>
      </w:pPr>
      <w:r>
        <w:rPr>
          <w:bCs/>
          <w:i/>
          <w:sz w:val="24"/>
          <w:szCs w:val="24"/>
          <w:lang w:val="en-GB"/>
        </w:rPr>
        <w:t>Colin Matthew</w:t>
      </w:r>
      <w:r w:rsidR="00883D12" w:rsidRPr="00883D12">
        <w:rPr>
          <w:bCs/>
          <w:i/>
          <w:sz w:val="24"/>
          <w:szCs w:val="24"/>
          <w:lang w:val="en-GB"/>
        </w:rPr>
        <w:t xml:space="preserve"> Room</w:t>
      </w:r>
    </w:p>
    <w:p w14:paraId="7DEB8C55" w14:textId="77777777" w:rsidR="00883D12" w:rsidRPr="00883D12" w:rsidRDefault="00883D12" w:rsidP="00883D12">
      <w:pPr>
        <w:pStyle w:val="Essay"/>
        <w:rPr>
          <w:bCs/>
          <w:sz w:val="24"/>
          <w:szCs w:val="24"/>
          <w:lang w:val="en-GB"/>
        </w:rPr>
      </w:pPr>
      <w:r w:rsidRPr="00883D12">
        <w:rPr>
          <w:bCs/>
          <w:sz w:val="24"/>
          <w:szCs w:val="24"/>
          <w:lang w:val="en-GB"/>
        </w:rPr>
        <w:t xml:space="preserve">The Memory of the First World War in Gettysburg </w:t>
      </w:r>
    </w:p>
    <w:p w14:paraId="50739BEE" w14:textId="77777777" w:rsidR="00883D12" w:rsidRPr="00883D12" w:rsidRDefault="00883D12" w:rsidP="00883D12">
      <w:pPr>
        <w:pStyle w:val="Essay"/>
        <w:rPr>
          <w:bCs/>
          <w:sz w:val="24"/>
          <w:szCs w:val="24"/>
          <w:u w:val="single"/>
          <w:lang w:val="en-GB"/>
        </w:rPr>
      </w:pPr>
      <w:r w:rsidRPr="00883D12">
        <w:rPr>
          <w:bCs/>
          <w:sz w:val="24"/>
          <w:szCs w:val="24"/>
          <w:u w:val="single"/>
          <w:lang w:val="en-GB"/>
        </w:rPr>
        <w:t>Ian Isherwood &amp; Sarah Johnson, Gettysburg College</w:t>
      </w:r>
    </w:p>
    <w:p w14:paraId="7E31C775" w14:textId="77777777" w:rsidR="00883D12" w:rsidRPr="00DA7C33" w:rsidRDefault="001F2B64" w:rsidP="00883D12">
      <w:pPr>
        <w:pStyle w:val="Essay"/>
        <w:rPr>
          <w:bCs/>
          <w:i/>
          <w:sz w:val="20"/>
          <w:szCs w:val="20"/>
        </w:rPr>
      </w:pPr>
      <w:r w:rsidRPr="00DA7C33">
        <w:rPr>
          <w:bCs/>
          <w:i/>
          <w:sz w:val="20"/>
          <w:szCs w:val="20"/>
        </w:rPr>
        <w:t>How did the First World War impact American small towns? Our paper considers the largely forgotten impact and memory of the First World War on an iconic small town and national historical site: Gettysburg, Pennsylvania.</w:t>
      </w:r>
    </w:p>
    <w:p w14:paraId="56BDD714" w14:textId="77777777" w:rsidR="001F2B64" w:rsidRPr="00883D12" w:rsidRDefault="001F2B64" w:rsidP="00883D12">
      <w:pPr>
        <w:pStyle w:val="Essay"/>
        <w:rPr>
          <w:bCs/>
          <w:sz w:val="24"/>
          <w:szCs w:val="24"/>
          <w:lang w:val="en-GB"/>
        </w:rPr>
      </w:pPr>
    </w:p>
    <w:p w14:paraId="4BF0F29B" w14:textId="77777777" w:rsidR="00883D12" w:rsidRPr="00883D12" w:rsidRDefault="00883D12" w:rsidP="00883D12">
      <w:pPr>
        <w:pStyle w:val="Essay"/>
        <w:rPr>
          <w:sz w:val="24"/>
          <w:szCs w:val="24"/>
          <w:lang w:val="en-US"/>
        </w:rPr>
      </w:pPr>
      <w:proofErr w:type="gramStart"/>
      <w:r w:rsidRPr="00883D12">
        <w:rPr>
          <w:sz w:val="24"/>
          <w:szCs w:val="24"/>
          <w:lang w:val="en-US"/>
        </w:rPr>
        <w:t>Sites of Memory Be</w:t>
      </w:r>
      <w:r w:rsidR="00641D7B">
        <w:rPr>
          <w:sz w:val="24"/>
          <w:szCs w:val="24"/>
          <w:lang w:val="en-US"/>
        </w:rPr>
        <w:t>yond Mourning?</w:t>
      </w:r>
      <w:proofErr w:type="gramEnd"/>
      <w:r w:rsidR="00641D7B">
        <w:rPr>
          <w:sz w:val="24"/>
          <w:szCs w:val="24"/>
          <w:lang w:val="en-US"/>
        </w:rPr>
        <w:t xml:space="preserve"> Remembrance and Place in the War C</w:t>
      </w:r>
      <w:r w:rsidRPr="00883D12">
        <w:rPr>
          <w:sz w:val="24"/>
          <w:szCs w:val="24"/>
          <w:lang w:val="en-US"/>
        </w:rPr>
        <w:t>emeteries of the old Western Front.</w:t>
      </w:r>
    </w:p>
    <w:p w14:paraId="75980410" w14:textId="77777777" w:rsidR="00883D12" w:rsidRPr="00883D12" w:rsidRDefault="00883D12" w:rsidP="00883D12">
      <w:pPr>
        <w:pStyle w:val="Essay"/>
        <w:rPr>
          <w:sz w:val="24"/>
          <w:szCs w:val="24"/>
          <w:u w:val="single"/>
          <w:lang w:val="en-GB"/>
        </w:rPr>
      </w:pPr>
      <w:r w:rsidRPr="00883D12">
        <w:rPr>
          <w:sz w:val="24"/>
          <w:szCs w:val="24"/>
          <w:u w:val="single"/>
          <w:lang w:val="en-GB"/>
        </w:rPr>
        <w:t>Tim Fox-Godden, University of Kent</w:t>
      </w:r>
    </w:p>
    <w:p w14:paraId="63E0DF42" w14:textId="77777777" w:rsidR="001F2B64" w:rsidRPr="001F2B64" w:rsidRDefault="001F2B64" w:rsidP="00883D12">
      <w:pPr>
        <w:pStyle w:val="Essay"/>
        <w:rPr>
          <w:rFonts w:eastAsia="MS Mincho"/>
          <w:i/>
          <w:sz w:val="20"/>
          <w:szCs w:val="20"/>
          <w:lang w:val="en-US"/>
        </w:rPr>
      </w:pPr>
      <w:r w:rsidRPr="00F97D79">
        <w:rPr>
          <w:rFonts w:eastAsia="MS Mincho"/>
          <w:i/>
          <w:sz w:val="20"/>
          <w:szCs w:val="20"/>
          <w:lang w:val="en-US"/>
        </w:rPr>
        <w:t>This paper will explore how the cemeteries and memorials of the Imperial War Graves Commission act as much more than commemorative markers of the fallen within the landscape of the old Western Front. It will seek to show how the cemeteries and the architectural entities within have been designed to retain aspects of an otherwise lost geography of memory. </w:t>
      </w:r>
    </w:p>
    <w:p w14:paraId="44E1D426" w14:textId="77777777" w:rsidR="009F398A" w:rsidRDefault="009F398A" w:rsidP="00883D12">
      <w:pPr>
        <w:pStyle w:val="Essay"/>
        <w:rPr>
          <w:b/>
          <w:bCs/>
          <w:sz w:val="24"/>
          <w:szCs w:val="24"/>
          <w:lang w:val="en-GB"/>
        </w:rPr>
      </w:pPr>
    </w:p>
    <w:p w14:paraId="2694823C" w14:textId="77777777" w:rsidR="00883D12" w:rsidRPr="00883D12" w:rsidRDefault="00883D12" w:rsidP="00883D12">
      <w:pPr>
        <w:pStyle w:val="Essay"/>
        <w:rPr>
          <w:b/>
          <w:bCs/>
          <w:sz w:val="24"/>
          <w:szCs w:val="24"/>
          <w:lang w:val="en-GB"/>
        </w:rPr>
      </w:pPr>
      <w:bookmarkStart w:id="0" w:name="_GoBack"/>
      <w:bookmarkEnd w:id="0"/>
      <w:r w:rsidRPr="00883D12">
        <w:rPr>
          <w:b/>
          <w:bCs/>
          <w:sz w:val="24"/>
          <w:szCs w:val="24"/>
          <w:lang w:val="en-GB"/>
        </w:rPr>
        <w:t>10.40-11.00: COFFEE</w:t>
      </w:r>
    </w:p>
    <w:p w14:paraId="2A54F5C4" w14:textId="77777777" w:rsidR="00883D12" w:rsidRPr="00883D12" w:rsidRDefault="00883D12" w:rsidP="00883D12">
      <w:pPr>
        <w:pStyle w:val="Essay"/>
        <w:rPr>
          <w:i/>
          <w:sz w:val="24"/>
          <w:szCs w:val="24"/>
          <w:lang w:val="en-GB"/>
        </w:rPr>
      </w:pPr>
      <w:r w:rsidRPr="00883D12">
        <w:rPr>
          <w:i/>
          <w:sz w:val="24"/>
          <w:szCs w:val="24"/>
          <w:lang w:val="en-GB"/>
        </w:rPr>
        <w:t>Common Room</w:t>
      </w:r>
    </w:p>
    <w:p w14:paraId="18651C00" w14:textId="77777777" w:rsidR="00883D12" w:rsidRPr="00883D12" w:rsidRDefault="00883D12" w:rsidP="00883D12">
      <w:pPr>
        <w:pStyle w:val="Essay"/>
        <w:rPr>
          <w:b/>
          <w:i/>
          <w:sz w:val="24"/>
          <w:szCs w:val="24"/>
          <w:lang w:val="en-GB"/>
        </w:rPr>
      </w:pPr>
    </w:p>
    <w:p w14:paraId="79EFDD86" w14:textId="77777777" w:rsidR="00883D12" w:rsidRPr="00883D12" w:rsidRDefault="00883D12" w:rsidP="00883D12">
      <w:pPr>
        <w:pStyle w:val="Essay"/>
        <w:rPr>
          <w:b/>
          <w:sz w:val="24"/>
          <w:szCs w:val="24"/>
          <w:lang w:val="en-GB"/>
        </w:rPr>
      </w:pPr>
      <w:r w:rsidRPr="00883D12">
        <w:rPr>
          <w:b/>
          <w:sz w:val="24"/>
          <w:szCs w:val="24"/>
          <w:lang w:val="en-GB"/>
        </w:rPr>
        <w:t xml:space="preserve">11.00-12.30: Panel Three  </w:t>
      </w:r>
    </w:p>
    <w:p w14:paraId="0212605C" w14:textId="77777777" w:rsidR="00883D12" w:rsidRPr="00883D12" w:rsidRDefault="00883D12" w:rsidP="00883D12">
      <w:pPr>
        <w:pStyle w:val="Essay"/>
        <w:rPr>
          <w:b/>
          <w:sz w:val="24"/>
          <w:szCs w:val="24"/>
          <w:lang w:val="en-GB"/>
        </w:rPr>
      </w:pPr>
      <w:r w:rsidRPr="00883D12">
        <w:rPr>
          <w:b/>
          <w:sz w:val="24"/>
          <w:szCs w:val="24"/>
          <w:lang w:val="en-GB"/>
        </w:rPr>
        <w:t xml:space="preserve">Supply and Logistics: </w:t>
      </w:r>
    </w:p>
    <w:p w14:paraId="16075482" w14:textId="77777777" w:rsidR="00883D12" w:rsidRPr="00883D12" w:rsidRDefault="00883D12" w:rsidP="00883D12">
      <w:pPr>
        <w:pStyle w:val="Essay"/>
        <w:rPr>
          <w:sz w:val="24"/>
          <w:szCs w:val="24"/>
          <w:lang w:val="en-GB"/>
        </w:rPr>
      </w:pPr>
      <w:r w:rsidRPr="00883D12">
        <w:rPr>
          <w:sz w:val="24"/>
          <w:szCs w:val="24"/>
          <w:lang w:val="en-GB"/>
        </w:rPr>
        <w:t xml:space="preserve">Chair – </w:t>
      </w:r>
      <w:proofErr w:type="spellStart"/>
      <w:r w:rsidRPr="00883D12">
        <w:rPr>
          <w:sz w:val="24"/>
          <w:szCs w:val="24"/>
          <w:lang w:val="en-GB"/>
        </w:rPr>
        <w:t>Calum</w:t>
      </w:r>
      <w:proofErr w:type="spellEnd"/>
      <w:r w:rsidRPr="00883D12">
        <w:rPr>
          <w:sz w:val="24"/>
          <w:szCs w:val="24"/>
          <w:lang w:val="en-GB"/>
        </w:rPr>
        <w:t xml:space="preserve"> White</w:t>
      </w:r>
    </w:p>
    <w:p w14:paraId="3241C3B7" w14:textId="77777777" w:rsidR="00883D12" w:rsidRPr="00883D12" w:rsidRDefault="00883D12" w:rsidP="00883D12">
      <w:pPr>
        <w:pStyle w:val="Essay"/>
        <w:rPr>
          <w:i/>
          <w:sz w:val="24"/>
          <w:szCs w:val="24"/>
          <w:lang w:val="en-GB"/>
        </w:rPr>
      </w:pPr>
      <w:r w:rsidRPr="00883D12">
        <w:rPr>
          <w:i/>
          <w:sz w:val="24"/>
          <w:szCs w:val="24"/>
          <w:lang w:val="en-GB"/>
        </w:rPr>
        <w:t>Lecture Theatre</w:t>
      </w:r>
    </w:p>
    <w:p w14:paraId="1FFE0EB6" w14:textId="77777777" w:rsidR="00883D12" w:rsidRPr="00883D12" w:rsidRDefault="00883D12" w:rsidP="00883D12">
      <w:pPr>
        <w:pStyle w:val="Essay"/>
        <w:rPr>
          <w:sz w:val="24"/>
          <w:szCs w:val="24"/>
          <w:lang w:val="en-GB"/>
        </w:rPr>
      </w:pPr>
      <w:r w:rsidRPr="00883D12">
        <w:rPr>
          <w:sz w:val="24"/>
          <w:szCs w:val="24"/>
          <w:lang w:val="en-GB"/>
        </w:rPr>
        <w:t>'Identifying a Policy: The British Admiralty and Oil in the Early Twentieth Century'.</w:t>
      </w:r>
    </w:p>
    <w:p w14:paraId="70871DAD" w14:textId="77777777" w:rsidR="00883D12" w:rsidRPr="00883D12" w:rsidRDefault="00883D12" w:rsidP="00883D12">
      <w:pPr>
        <w:pStyle w:val="Essay"/>
        <w:rPr>
          <w:sz w:val="24"/>
          <w:szCs w:val="24"/>
          <w:u w:val="single"/>
          <w:lang w:val="en-GB"/>
        </w:rPr>
      </w:pPr>
      <w:r w:rsidRPr="00883D12">
        <w:rPr>
          <w:sz w:val="24"/>
          <w:szCs w:val="24"/>
          <w:u w:val="single"/>
          <w:lang w:val="en-GB"/>
        </w:rPr>
        <w:t xml:space="preserve">Graham Kay, </w:t>
      </w:r>
      <w:proofErr w:type="spellStart"/>
      <w:r w:rsidRPr="00883D12">
        <w:rPr>
          <w:sz w:val="24"/>
          <w:szCs w:val="24"/>
          <w:u w:val="single"/>
          <w:lang w:val="en-GB"/>
        </w:rPr>
        <w:t>Maynooth</w:t>
      </w:r>
      <w:proofErr w:type="spellEnd"/>
      <w:r w:rsidRPr="00883D12">
        <w:rPr>
          <w:sz w:val="24"/>
          <w:szCs w:val="24"/>
          <w:u w:val="single"/>
          <w:lang w:val="en-GB"/>
        </w:rPr>
        <w:t xml:space="preserve"> University</w:t>
      </w:r>
    </w:p>
    <w:p w14:paraId="0A8A7395" w14:textId="77777777" w:rsidR="00883D12" w:rsidRPr="00DA7C33" w:rsidRDefault="001F2B64" w:rsidP="00883D12">
      <w:pPr>
        <w:pStyle w:val="Essay"/>
        <w:rPr>
          <w:sz w:val="20"/>
          <w:szCs w:val="20"/>
          <w:lang w:val="en-GB"/>
        </w:rPr>
      </w:pPr>
      <w:r w:rsidRPr="00DA7C33">
        <w:rPr>
          <w:i/>
          <w:sz w:val="20"/>
          <w:szCs w:val="20"/>
        </w:rPr>
        <w:t>This paper will examine and trace the British Admiralty's policy towards oil from 1895 to 1914. Through international pressure and technological innovation, the Admiralty's transition from apathy towards oil to dependency ultimately led to a policy that affected British government decision making throughout the twentieth century.</w:t>
      </w:r>
    </w:p>
    <w:p w14:paraId="7C80C6CF" w14:textId="77777777" w:rsidR="00883D12" w:rsidRDefault="00883D12" w:rsidP="00883D12">
      <w:pPr>
        <w:pStyle w:val="Essay"/>
        <w:rPr>
          <w:sz w:val="24"/>
          <w:szCs w:val="24"/>
          <w:lang w:val="en-GB"/>
        </w:rPr>
      </w:pPr>
    </w:p>
    <w:p w14:paraId="7357EF6D" w14:textId="77777777" w:rsidR="00883D12" w:rsidRPr="00883D12" w:rsidRDefault="00883D12" w:rsidP="00883D12">
      <w:pPr>
        <w:pStyle w:val="Essay"/>
        <w:rPr>
          <w:sz w:val="24"/>
          <w:szCs w:val="24"/>
          <w:lang w:val="en-GB"/>
        </w:rPr>
      </w:pPr>
      <w:r w:rsidRPr="00883D12">
        <w:rPr>
          <w:sz w:val="24"/>
          <w:szCs w:val="24"/>
          <w:lang w:val="en-GB"/>
        </w:rPr>
        <w:t xml:space="preserve">A case of ‘economic unorthodoxy’ or just ‘business as </w:t>
      </w:r>
      <w:proofErr w:type="gramStart"/>
      <w:r w:rsidRPr="00883D12">
        <w:rPr>
          <w:sz w:val="24"/>
          <w:szCs w:val="24"/>
          <w:lang w:val="en-GB"/>
        </w:rPr>
        <w:t>usual’?:</w:t>
      </w:r>
      <w:proofErr w:type="gramEnd"/>
      <w:r w:rsidRPr="00883D12">
        <w:rPr>
          <w:sz w:val="24"/>
          <w:szCs w:val="24"/>
          <w:lang w:val="en-GB"/>
        </w:rPr>
        <w:t xml:space="preserve"> The Railway Executive Committee and the work of Britain’s Railways during the First World War</w:t>
      </w:r>
    </w:p>
    <w:p w14:paraId="0F892F19" w14:textId="77777777" w:rsidR="00883D12" w:rsidRPr="00883D12" w:rsidRDefault="00883D12" w:rsidP="00883D12">
      <w:pPr>
        <w:pStyle w:val="Essay"/>
        <w:rPr>
          <w:bCs/>
          <w:sz w:val="24"/>
          <w:szCs w:val="24"/>
          <w:u w:val="single"/>
          <w:lang w:val="en-GB"/>
        </w:rPr>
      </w:pPr>
      <w:r w:rsidRPr="00883D12">
        <w:rPr>
          <w:bCs/>
          <w:sz w:val="24"/>
          <w:szCs w:val="24"/>
          <w:u w:val="single"/>
          <w:lang w:val="en-GB"/>
        </w:rPr>
        <w:t>Tanya Kenny, University of Aberdeen</w:t>
      </w:r>
    </w:p>
    <w:p w14:paraId="1CE0875C" w14:textId="77777777" w:rsidR="00883D12" w:rsidRPr="00DA7C33" w:rsidRDefault="001F2B64" w:rsidP="00883D12">
      <w:pPr>
        <w:pStyle w:val="Essay"/>
        <w:rPr>
          <w:i/>
          <w:sz w:val="20"/>
          <w:szCs w:val="20"/>
        </w:rPr>
      </w:pPr>
      <w:r w:rsidRPr="00DA7C33">
        <w:rPr>
          <w:i/>
          <w:sz w:val="20"/>
          <w:szCs w:val="20"/>
        </w:rPr>
        <w:t>Whilst it was ‘business as usual’ in 1914 the railway companies became legally bound to the government. However, it was the organisation entitled the Railway Executive Committee that oversaw the operation and management of the railways and implemented the pre-war plans for mobilisation</w:t>
      </w:r>
    </w:p>
    <w:p w14:paraId="6CB58D84" w14:textId="77777777" w:rsidR="001F2B64" w:rsidRPr="00883D12" w:rsidRDefault="001F2B64" w:rsidP="00883D12">
      <w:pPr>
        <w:pStyle w:val="Essay"/>
        <w:rPr>
          <w:sz w:val="24"/>
          <w:szCs w:val="24"/>
          <w:lang w:val="en-GB"/>
        </w:rPr>
      </w:pPr>
    </w:p>
    <w:p w14:paraId="0C02EA88" w14:textId="77777777" w:rsidR="00883D12" w:rsidRPr="00883D12" w:rsidRDefault="00883D12" w:rsidP="00883D12">
      <w:pPr>
        <w:pStyle w:val="Essay"/>
        <w:rPr>
          <w:sz w:val="24"/>
          <w:szCs w:val="24"/>
          <w:lang w:val="en-GB"/>
        </w:rPr>
      </w:pPr>
      <w:r w:rsidRPr="00883D12">
        <w:rPr>
          <w:sz w:val="24"/>
          <w:szCs w:val="24"/>
          <w:lang w:val="en-GB"/>
        </w:rPr>
        <w:t>The First World War and the Cocoa Industry in British West Africa: A Case-Study of the Hazards of Periphery Economy</w:t>
      </w:r>
    </w:p>
    <w:p w14:paraId="66EC1455" w14:textId="77777777" w:rsidR="00883D12" w:rsidRPr="00883D12" w:rsidRDefault="00883D12" w:rsidP="00883D12">
      <w:pPr>
        <w:pStyle w:val="Essay"/>
        <w:rPr>
          <w:sz w:val="24"/>
          <w:szCs w:val="24"/>
          <w:u w:val="single"/>
          <w:lang w:val="en-GB"/>
        </w:rPr>
      </w:pPr>
      <w:proofErr w:type="spellStart"/>
      <w:r w:rsidRPr="00883D12">
        <w:rPr>
          <w:sz w:val="24"/>
          <w:szCs w:val="24"/>
          <w:u w:val="single"/>
          <w:lang w:val="en-GB"/>
        </w:rPr>
        <w:t>Olisa</w:t>
      </w:r>
      <w:proofErr w:type="spellEnd"/>
      <w:r w:rsidRPr="00883D12">
        <w:rPr>
          <w:sz w:val="24"/>
          <w:szCs w:val="24"/>
          <w:u w:val="single"/>
          <w:lang w:val="en-GB"/>
        </w:rPr>
        <w:t xml:space="preserve"> Godson</w:t>
      </w:r>
      <w:r w:rsidR="00164055">
        <w:rPr>
          <w:sz w:val="24"/>
          <w:szCs w:val="24"/>
          <w:u w:val="single"/>
          <w:lang w:val="en-GB"/>
        </w:rPr>
        <w:t xml:space="preserve"> </w:t>
      </w:r>
      <w:proofErr w:type="spellStart"/>
      <w:r w:rsidR="00164055">
        <w:rPr>
          <w:sz w:val="24"/>
          <w:szCs w:val="24"/>
          <w:u w:val="single"/>
          <w:lang w:val="en-GB"/>
        </w:rPr>
        <w:t>Muojama</w:t>
      </w:r>
      <w:proofErr w:type="spellEnd"/>
      <w:r w:rsidRPr="00883D12">
        <w:rPr>
          <w:sz w:val="24"/>
          <w:szCs w:val="24"/>
          <w:u w:val="single"/>
          <w:lang w:val="en-GB"/>
        </w:rPr>
        <w:t>, University of Ibadan</w:t>
      </w:r>
    </w:p>
    <w:p w14:paraId="09D4F22D" w14:textId="77777777" w:rsidR="00883D12" w:rsidRDefault="001F2B64" w:rsidP="00883D12">
      <w:pPr>
        <w:pStyle w:val="Essay"/>
        <w:rPr>
          <w:b/>
          <w:sz w:val="24"/>
          <w:szCs w:val="24"/>
          <w:lang w:val="en-GB"/>
        </w:rPr>
      </w:pPr>
      <w:r w:rsidRPr="00F97D79">
        <w:rPr>
          <w:i/>
          <w:sz w:val="20"/>
          <w:szCs w:val="20"/>
        </w:rPr>
        <w:t>The happy combination of economic institutions, market forces, and a harmonious international climate, characteristic of the first phase of the international economy (1800-1913), was rudely shattered following the outbreak of World War I in 1914. In the historiography of the Great War, its implications for African economies have been a neglected topic. Utilizing evidence from archives in Ghana and Nigeria, this paper offers an assessment of the impact of the Great War on cocoa industry in British West Africa.</w:t>
      </w:r>
    </w:p>
    <w:p w14:paraId="495B4E09" w14:textId="77777777" w:rsidR="001F2B64" w:rsidRPr="00883D12" w:rsidRDefault="001F2B64" w:rsidP="00883D12">
      <w:pPr>
        <w:pStyle w:val="Essay"/>
        <w:rPr>
          <w:b/>
          <w:sz w:val="24"/>
          <w:szCs w:val="24"/>
          <w:lang w:val="en-GB"/>
        </w:rPr>
      </w:pPr>
    </w:p>
    <w:p w14:paraId="4ECD971F" w14:textId="77777777" w:rsidR="00883D12" w:rsidRPr="00883D12" w:rsidRDefault="00883D12" w:rsidP="00883D12">
      <w:pPr>
        <w:pStyle w:val="Essay"/>
        <w:rPr>
          <w:b/>
          <w:sz w:val="24"/>
          <w:szCs w:val="24"/>
          <w:lang w:val="en-GB"/>
        </w:rPr>
      </w:pPr>
      <w:r w:rsidRPr="00883D12">
        <w:rPr>
          <w:b/>
          <w:sz w:val="24"/>
          <w:szCs w:val="24"/>
          <w:lang w:val="en-GB"/>
        </w:rPr>
        <w:t>12.30-13.30: LUNCH</w:t>
      </w:r>
    </w:p>
    <w:p w14:paraId="402B50A9" w14:textId="77777777" w:rsidR="00883D12" w:rsidRPr="00883D12" w:rsidRDefault="00883D12" w:rsidP="00883D12">
      <w:pPr>
        <w:pStyle w:val="Essay"/>
        <w:rPr>
          <w:i/>
          <w:sz w:val="24"/>
          <w:szCs w:val="24"/>
          <w:lang w:val="en-GB"/>
        </w:rPr>
      </w:pPr>
      <w:r w:rsidRPr="00883D12">
        <w:rPr>
          <w:i/>
          <w:sz w:val="24"/>
          <w:szCs w:val="24"/>
          <w:lang w:val="en-GB"/>
        </w:rPr>
        <w:t>Common Room</w:t>
      </w:r>
    </w:p>
    <w:p w14:paraId="58C23969" w14:textId="77777777" w:rsidR="00883D12" w:rsidRPr="00883D12" w:rsidRDefault="00883D12" w:rsidP="00883D12">
      <w:pPr>
        <w:pStyle w:val="Essay"/>
        <w:rPr>
          <w:b/>
          <w:i/>
          <w:sz w:val="24"/>
          <w:szCs w:val="24"/>
          <w:lang w:val="en-GB"/>
        </w:rPr>
      </w:pPr>
    </w:p>
    <w:p w14:paraId="2E215F11" w14:textId="77777777" w:rsidR="00883D12" w:rsidRPr="00883D12" w:rsidRDefault="00883D12" w:rsidP="00883D12">
      <w:pPr>
        <w:pStyle w:val="Essay"/>
        <w:rPr>
          <w:b/>
          <w:sz w:val="24"/>
          <w:szCs w:val="24"/>
          <w:lang w:val="en-GB"/>
        </w:rPr>
      </w:pPr>
      <w:r w:rsidRPr="00883D12">
        <w:rPr>
          <w:b/>
          <w:sz w:val="24"/>
          <w:szCs w:val="24"/>
          <w:lang w:val="en-GB"/>
        </w:rPr>
        <w:t xml:space="preserve">13.30-14.30: KEYNOTE </w:t>
      </w:r>
    </w:p>
    <w:p w14:paraId="5148D48F" w14:textId="77777777" w:rsidR="00883D12" w:rsidRPr="00883D12" w:rsidRDefault="00883D12" w:rsidP="00883D12">
      <w:pPr>
        <w:pStyle w:val="Essay"/>
        <w:rPr>
          <w:i/>
          <w:sz w:val="24"/>
          <w:szCs w:val="24"/>
          <w:lang w:val="en-GB"/>
        </w:rPr>
      </w:pPr>
      <w:r w:rsidRPr="00883D12">
        <w:rPr>
          <w:i/>
          <w:sz w:val="24"/>
          <w:szCs w:val="24"/>
          <w:lang w:val="en-GB"/>
        </w:rPr>
        <w:t>Lecture Theatre</w:t>
      </w:r>
    </w:p>
    <w:p w14:paraId="720F536E" w14:textId="77777777" w:rsidR="00883D12" w:rsidRPr="00883D12" w:rsidRDefault="00883D12" w:rsidP="00883D12">
      <w:pPr>
        <w:pStyle w:val="Essay"/>
        <w:rPr>
          <w:bCs/>
          <w:sz w:val="24"/>
          <w:szCs w:val="24"/>
        </w:rPr>
      </w:pPr>
      <w:r w:rsidRPr="00883D12">
        <w:rPr>
          <w:bCs/>
          <w:sz w:val="24"/>
          <w:szCs w:val="24"/>
        </w:rPr>
        <w:t>Into Hostile Camps: The Scientists Go to War, 1914-1919</w:t>
      </w:r>
    </w:p>
    <w:p w14:paraId="510088DD" w14:textId="77777777" w:rsidR="00883D12" w:rsidRPr="00883D12" w:rsidRDefault="00883D12" w:rsidP="00883D12">
      <w:pPr>
        <w:pStyle w:val="Essay"/>
        <w:rPr>
          <w:sz w:val="24"/>
          <w:szCs w:val="24"/>
          <w:u w:val="single"/>
          <w:lang w:val="en-GB"/>
        </w:rPr>
      </w:pPr>
      <w:r w:rsidRPr="00883D12">
        <w:rPr>
          <w:sz w:val="24"/>
          <w:szCs w:val="24"/>
          <w:u w:val="single"/>
          <w:lang w:val="en-GB"/>
        </w:rPr>
        <w:t>Professor Roy MacLeod, University of Sydney</w:t>
      </w:r>
    </w:p>
    <w:p w14:paraId="1C8F6153" w14:textId="77777777" w:rsidR="00883D12" w:rsidRPr="00883D12" w:rsidRDefault="00883D12" w:rsidP="00883D12">
      <w:pPr>
        <w:pStyle w:val="Essay"/>
        <w:rPr>
          <w:b/>
          <w:sz w:val="24"/>
          <w:szCs w:val="24"/>
          <w:lang w:val="en-GB"/>
        </w:rPr>
      </w:pPr>
    </w:p>
    <w:p w14:paraId="43957B3A" w14:textId="77777777" w:rsidR="00883D12" w:rsidRDefault="00883D12" w:rsidP="00883D12">
      <w:pPr>
        <w:pStyle w:val="Essay"/>
        <w:rPr>
          <w:b/>
          <w:sz w:val="24"/>
          <w:szCs w:val="24"/>
          <w:lang w:val="en-GB"/>
        </w:rPr>
      </w:pPr>
      <w:r w:rsidRPr="00883D12">
        <w:rPr>
          <w:b/>
          <w:sz w:val="24"/>
          <w:szCs w:val="24"/>
          <w:lang w:val="en-GB"/>
        </w:rPr>
        <w:t xml:space="preserve">14.30-16.00: Panels Four &amp; Five  </w:t>
      </w:r>
    </w:p>
    <w:p w14:paraId="58A54440" w14:textId="77777777" w:rsidR="00883D12" w:rsidRPr="00883D12" w:rsidRDefault="00883D12" w:rsidP="00883D12">
      <w:pPr>
        <w:pStyle w:val="Essay"/>
        <w:rPr>
          <w:b/>
          <w:sz w:val="24"/>
          <w:szCs w:val="24"/>
          <w:lang w:val="en-GB"/>
        </w:rPr>
      </w:pPr>
      <w:r w:rsidRPr="00883D12">
        <w:rPr>
          <w:b/>
          <w:sz w:val="24"/>
          <w:szCs w:val="24"/>
          <w:lang w:val="en-GB"/>
        </w:rPr>
        <w:t>Representations of War &amp; The Politics of Identity</w:t>
      </w:r>
    </w:p>
    <w:p w14:paraId="57381F78" w14:textId="77777777" w:rsidR="00883D12" w:rsidRPr="00883D12" w:rsidRDefault="00883D12" w:rsidP="00883D12">
      <w:pPr>
        <w:pStyle w:val="Essay"/>
        <w:rPr>
          <w:b/>
          <w:sz w:val="24"/>
          <w:szCs w:val="24"/>
          <w:lang w:val="en-GB"/>
        </w:rPr>
      </w:pPr>
    </w:p>
    <w:p w14:paraId="1F1C1EBB" w14:textId="77777777" w:rsidR="00883D12" w:rsidRPr="00883D12" w:rsidRDefault="00883D12" w:rsidP="00883D12">
      <w:pPr>
        <w:pStyle w:val="Essay"/>
        <w:rPr>
          <w:b/>
          <w:sz w:val="24"/>
          <w:szCs w:val="24"/>
          <w:lang w:val="en-GB"/>
        </w:rPr>
      </w:pPr>
      <w:r w:rsidRPr="00883D12">
        <w:rPr>
          <w:b/>
          <w:sz w:val="24"/>
          <w:szCs w:val="24"/>
          <w:lang w:val="en-GB"/>
        </w:rPr>
        <w:t xml:space="preserve">Representations of War: </w:t>
      </w:r>
    </w:p>
    <w:p w14:paraId="14D3A123" w14:textId="77777777" w:rsidR="00883D12" w:rsidRPr="00883D12" w:rsidRDefault="00883D12" w:rsidP="00883D12">
      <w:pPr>
        <w:pStyle w:val="Essay"/>
        <w:rPr>
          <w:sz w:val="24"/>
          <w:szCs w:val="24"/>
          <w:lang w:val="en-GB"/>
        </w:rPr>
      </w:pPr>
      <w:r w:rsidRPr="00883D12">
        <w:rPr>
          <w:sz w:val="24"/>
          <w:szCs w:val="24"/>
          <w:lang w:val="en-GB"/>
        </w:rPr>
        <w:t>Chair – Ashley Garber</w:t>
      </w:r>
    </w:p>
    <w:p w14:paraId="15D96DD8" w14:textId="77777777" w:rsidR="00883D12" w:rsidRPr="00883D12" w:rsidRDefault="00883D12" w:rsidP="00883D12">
      <w:pPr>
        <w:pStyle w:val="Essay"/>
        <w:rPr>
          <w:i/>
          <w:sz w:val="24"/>
          <w:szCs w:val="24"/>
          <w:lang w:val="en-GB"/>
        </w:rPr>
      </w:pPr>
      <w:r w:rsidRPr="00883D12">
        <w:rPr>
          <w:i/>
          <w:sz w:val="24"/>
          <w:szCs w:val="24"/>
          <w:lang w:val="en-GB"/>
        </w:rPr>
        <w:t>Lecture Theatre</w:t>
      </w:r>
    </w:p>
    <w:p w14:paraId="5157BECD" w14:textId="77777777" w:rsidR="00883D12" w:rsidRPr="00883D12" w:rsidRDefault="00883D12" w:rsidP="00883D12">
      <w:pPr>
        <w:pStyle w:val="Essay"/>
        <w:rPr>
          <w:bCs/>
          <w:sz w:val="24"/>
          <w:szCs w:val="24"/>
          <w:lang w:val="en-GB"/>
        </w:rPr>
      </w:pPr>
      <w:proofErr w:type="gramStart"/>
      <w:r w:rsidRPr="00883D12">
        <w:rPr>
          <w:sz w:val="24"/>
          <w:szCs w:val="24"/>
          <w:lang w:val="en-GB"/>
        </w:rPr>
        <w:t>The Old Vic as the "Home of Shakespeare" during the First World War.</w:t>
      </w:r>
      <w:proofErr w:type="gramEnd"/>
    </w:p>
    <w:p w14:paraId="2E3F9551" w14:textId="77777777" w:rsidR="00883D12" w:rsidRPr="00883D12" w:rsidRDefault="00883D12" w:rsidP="00883D12">
      <w:pPr>
        <w:pStyle w:val="Essay"/>
        <w:rPr>
          <w:bCs/>
          <w:sz w:val="24"/>
          <w:szCs w:val="24"/>
          <w:u w:val="single"/>
          <w:lang w:val="en-GB"/>
        </w:rPr>
      </w:pPr>
      <w:r w:rsidRPr="00883D12">
        <w:rPr>
          <w:bCs/>
          <w:sz w:val="24"/>
          <w:szCs w:val="24"/>
          <w:u w:val="single"/>
          <w:lang w:val="en-GB"/>
        </w:rPr>
        <w:t xml:space="preserve">Karen </w:t>
      </w:r>
      <w:proofErr w:type="spellStart"/>
      <w:r w:rsidRPr="00883D12">
        <w:rPr>
          <w:bCs/>
          <w:sz w:val="24"/>
          <w:szCs w:val="24"/>
          <w:u w:val="single"/>
          <w:lang w:val="en-GB"/>
        </w:rPr>
        <w:t>Harker</w:t>
      </w:r>
      <w:proofErr w:type="spellEnd"/>
      <w:r w:rsidRPr="00883D12">
        <w:rPr>
          <w:bCs/>
          <w:sz w:val="24"/>
          <w:szCs w:val="24"/>
          <w:u w:val="single"/>
          <w:lang w:val="en-GB"/>
        </w:rPr>
        <w:t xml:space="preserve">, </w:t>
      </w:r>
      <w:r w:rsidRPr="00883D12">
        <w:rPr>
          <w:sz w:val="24"/>
          <w:szCs w:val="24"/>
          <w:u w:val="single"/>
          <w:lang w:val="en-GB"/>
        </w:rPr>
        <w:t>Shakespeare Institute in Stratford-upon-Avon</w:t>
      </w:r>
    </w:p>
    <w:p w14:paraId="58500BE8" w14:textId="77777777" w:rsidR="00883D12" w:rsidRPr="001F2B64" w:rsidRDefault="001F2B64" w:rsidP="00883D12">
      <w:pPr>
        <w:pStyle w:val="Essay"/>
        <w:rPr>
          <w:sz w:val="20"/>
          <w:szCs w:val="20"/>
          <w:lang w:val="en-GB"/>
        </w:rPr>
      </w:pPr>
      <w:r w:rsidRPr="001F2B64">
        <w:rPr>
          <w:i/>
          <w:iCs/>
          <w:sz w:val="20"/>
          <w:szCs w:val="20"/>
        </w:rPr>
        <w:t>This paper will explore the role of Shakespeare at The Old Vic during the First World War, and how this theatre became the 'Home of Shakespeare'. I will analyze how cultural appropriation of Shakespeare in both England and Germany contributed to the social constructs surrounding Shakespeare and nationalism, and how the Great War impacted Shakespearean performance at the Old Vic.</w:t>
      </w:r>
    </w:p>
    <w:p w14:paraId="11E5A810" w14:textId="77777777" w:rsidR="001F2B64" w:rsidRDefault="001F2B64" w:rsidP="00883D12">
      <w:pPr>
        <w:pStyle w:val="Essay"/>
        <w:rPr>
          <w:sz w:val="24"/>
          <w:szCs w:val="24"/>
          <w:lang w:val="en-GB"/>
        </w:rPr>
      </w:pPr>
    </w:p>
    <w:p w14:paraId="326D2D0E" w14:textId="77777777" w:rsidR="00DA7C33" w:rsidRDefault="00DA7C33" w:rsidP="00883D12">
      <w:pPr>
        <w:pStyle w:val="Essay"/>
        <w:rPr>
          <w:sz w:val="24"/>
          <w:szCs w:val="24"/>
          <w:lang w:val="en-GB"/>
        </w:rPr>
      </w:pPr>
    </w:p>
    <w:p w14:paraId="21663141" w14:textId="77777777" w:rsidR="00DA7C33" w:rsidRDefault="00DA7C33" w:rsidP="00883D12">
      <w:pPr>
        <w:pStyle w:val="Essay"/>
        <w:rPr>
          <w:sz w:val="24"/>
          <w:szCs w:val="24"/>
          <w:lang w:val="en-GB"/>
        </w:rPr>
      </w:pPr>
    </w:p>
    <w:p w14:paraId="687C42CF" w14:textId="77777777" w:rsidR="00883D12" w:rsidRPr="00883D12" w:rsidRDefault="00883D12" w:rsidP="00883D12">
      <w:pPr>
        <w:pStyle w:val="Essay"/>
        <w:rPr>
          <w:bCs/>
          <w:sz w:val="24"/>
          <w:szCs w:val="24"/>
          <w:u w:val="single"/>
          <w:lang w:val="en-GB"/>
        </w:rPr>
      </w:pPr>
      <w:r w:rsidRPr="00883D12">
        <w:rPr>
          <w:sz w:val="24"/>
          <w:szCs w:val="24"/>
          <w:lang w:val="en-GB"/>
        </w:rPr>
        <w:lastRenderedPageBreak/>
        <w:t>Malta in the First World War: A Tripartite Linguistic Legacy of Reportage</w:t>
      </w:r>
    </w:p>
    <w:p w14:paraId="021BE1E2" w14:textId="77777777" w:rsidR="00883D12" w:rsidRPr="00883D12" w:rsidRDefault="00883D12" w:rsidP="00883D12">
      <w:pPr>
        <w:pStyle w:val="Essay"/>
        <w:rPr>
          <w:iCs/>
          <w:sz w:val="24"/>
          <w:szCs w:val="24"/>
          <w:u w:val="single"/>
          <w:lang w:val="en-GB"/>
        </w:rPr>
      </w:pPr>
      <w:r w:rsidRPr="00883D12">
        <w:rPr>
          <w:sz w:val="24"/>
          <w:szCs w:val="24"/>
          <w:u w:val="single"/>
          <w:lang w:val="en-GB"/>
        </w:rPr>
        <w:t xml:space="preserve">Hillary </w:t>
      </w:r>
      <w:proofErr w:type="spellStart"/>
      <w:r w:rsidRPr="00883D12">
        <w:rPr>
          <w:sz w:val="24"/>
          <w:szCs w:val="24"/>
          <w:u w:val="single"/>
          <w:lang w:val="en-GB"/>
        </w:rPr>
        <w:t>Briffa</w:t>
      </w:r>
      <w:proofErr w:type="spellEnd"/>
      <w:r w:rsidRPr="00883D12">
        <w:rPr>
          <w:iCs/>
          <w:sz w:val="24"/>
          <w:szCs w:val="24"/>
          <w:u w:val="single"/>
          <w:lang w:val="en-GB"/>
        </w:rPr>
        <w:t>, King's College London</w:t>
      </w:r>
    </w:p>
    <w:p w14:paraId="02B5570C" w14:textId="77777777" w:rsidR="00883D12" w:rsidRDefault="001F2B64" w:rsidP="00883D12">
      <w:pPr>
        <w:pStyle w:val="Essay"/>
        <w:rPr>
          <w:sz w:val="24"/>
          <w:szCs w:val="24"/>
          <w:u w:val="single"/>
          <w:lang w:val="en-GB"/>
        </w:rPr>
      </w:pPr>
      <w:r w:rsidRPr="00F97D79">
        <w:rPr>
          <w:rFonts w:eastAsia="Times New Roman"/>
          <w:i/>
          <w:sz w:val="20"/>
          <w:szCs w:val="20"/>
          <w:lang w:val="en-GB"/>
        </w:rPr>
        <w:t>This paper discusses the linguistic legacy of WW1 reportage in Malta, particularly in view of the colonial relationship with Britain. Three Maltese newspapers of the era, each catering to a different social stratum, are taken as case studies and qualitative discourse analysis is applied to identify embedded propagandist techniques and thereby determine whether the published text was pro-British in nature. Contextualization and theoretical analysis reveal that the ability for mass audience manipulation has been intrinsically linked with the language of publication and a disparity exists in attitudes towards the colonizers when covering domestic or international affairs.</w:t>
      </w:r>
    </w:p>
    <w:p w14:paraId="01D926D5" w14:textId="77777777" w:rsidR="001F2B64" w:rsidRPr="00883D12" w:rsidRDefault="001F2B64" w:rsidP="00883D12">
      <w:pPr>
        <w:pStyle w:val="Essay"/>
        <w:rPr>
          <w:sz w:val="24"/>
          <w:szCs w:val="24"/>
          <w:u w:val="single"/>
          <w:lang w:val="en-GB"/>
        </w:rPr>
      </w:pPr>
    </w:p>
    <w:p w14:paraId="02B357B9" w14:textId="77777777" w:rsidR="00883D12" w:rsidRPr="00883D12" w:rsidRDefault="00883D12" w:rsidP="00883D12">
      <w:pPr>
        <w:pStyle w:val="Essay"/>
        <w:rPr>
          <w:sz w:val="24"/>
          <w:szCs w:val="24"/>
          <w:lang w:val="en-US"/>
        </w:rPr>
      </w:pPr>
      <w:r w:rsidRPr="00883D12">
        <w:rPr>
          <w:sz w:val="24"/>
          <w:szCs w:val="24"/>
          <w:lang w:val="en-US"/>
        </w:rPr>
        <w:t>History of</w:t>
      </w:r>
      <w:r w:rsidR="00F83E41">
        <w:rPr>
          <w:sz w:val="24"/>
          <w:szCs w:val="24"/>
          <w:lang w:val="en-US"/>
        </w:rPr>
        <w:t xml:space="preserve"> L</w:t>
      </w:r>
      <w:r w:rsidRPr="00883D12">
        <w:rPr>
          <w:sz w:val="24"/>
          <w:szCs w:val="24"/>
          <w:lang w:val="en-US"/>
        </w:rPr>
        <w:t xml:space="preserve">aughter in the </w:t>
      </w:r>
      <w:r w:rsidR="00F83E41">
        <w:rPr>
          <w:sz w:val="24"/>
          <w:szCs w:val="24"/>
          <w:lang w:val="en-US"/>
        </w:rPr>
        <w:t>Trenches: A Literary Approach</w:t>
      </w:r>
      <w:r w:rsidRPr="00883D12">
        <w:rPr>
          <w:sz w:val="24"/>
          <w:szCs w:val="24"/>
          <w:lang w:val="en-US"/>
        </w:rPr>
        <w:t xml:space="preserve"> </w:t>
      </w:r>
    </w:p>
    <w:p w14:paraId="353915B6" w14:textId="77777777" w:rsidR="00883D12" w:rsidRDefault="00883D12" w:rsidP="00883D12">
      <w:pPr>
        <w:pStyle w:val="Essay"/>
        <w:rPr>
          <w:sz w:val="24"/>
          <w:szCs w:val="24"/>
          <w:u w:val="single"/>
          <w:lang w:val="en-US"/>
        </w:rPr>
      </w:pPr>
      <w:r w:rsidRPr="00883D12">
        <w:rPr>
          <w:sz w:val="24"/>
          <w:szCs w:val="24"/>
          <w:u w:val="single"/>
          <w:lang w:val="en-US"/>
        </w:rPr>
        <w:t xml:space="preserve">Nicolas Bianchi, </w:t>
      </w:r>
      <w:proofErr w:type="spellStart"/>
      <w:r w:rsidRPr="00883D12">
        <w:rPr>
          <w:sz w:val="24"/>
          <w:szCs w:val="24"/>
          <w:u w:val="single"/>
          <w:lang w:val="en-US"/>
        </w:rPr>
        <w:t>Ecole</w:t>
      </w:r>
      <w:proofErr w:type="spellEnd"/>
      <w:r w:rsidRPr="00883D12">
        <w:rPr>
          <w:sz w:val="24"/>
          <w:szCs w:val="24"/>
          <w:u w:val="single"/>
          <w:lang w:val="en-US"/>
        </w:rPr>
        <w:t xml:space="preserve"> </w:t>
      </w:r>
      <w:proofErr w:type="spellStart"/>
      <w:r w:rsidRPr="00883D12">
        <w:rPr>
          <w:sz w:val="24"/>
          <w:szCs w:val="24"/>
          <w:u w:val="single"/>
          <w:lang w:val="en-US"/>
        </w:rPr>
        <w:t>Normale</w:t>
      </w:r>
      <w:proofErr w:type="spellEnd"/>
      <w:r w:rsidRPr="00883D12">
        <w:rPr>
          <w:sz w:val="24"/>
          <w:szCs w:val="24"/>
          <w:u w:val="single"/>
          <w:lang w:val="en-US"/>
        </w:rPr>
        <w:t xml:space="preserve"> </w:t>
      </w:r>
      <w:proofErr w:type="spellStart"/>
      <w:r w:rsidRPr="00883D12">
        <w:rPr>
          <w:sz w:val="24"/>
          <w:szCs w:val="24"/>
          <w:u w:val="single"/>
          <w:lang w:val="en-US"/>
        </w:rPr>
        <w:t>Supérieure</w:t>
      </w:r>
      <w:proofErr w:type="spellEnd"/>
      <w:r w:rsidRPr="00883D12">
        <w:rPr>
          <w:sz w:val="24"/>
          <w:szCs w:val="24"/>
          <w:u w:val="single"/>
          <w:lang w:val="en-US"/>
        </w:rPr>
        <w:t xml:space="preserve"> de Lyon / </w:t>
      </w:r>
      <w:proofErr w:type="spellStart"/>
      <w:r w:rsidRPr="00883D12">
        <w:rPr>
          <w:sz w:val="24"/>
          <w:szCs w:val="24"/>
          <w:u w:val="single"/>
          <w:lang w:val="en-US"/>
        </w:rPr>
        <w:t>Maison</w:t>
      </w:r>
      <w:proofErr w:type="spellEnd"/>
      <w:r w:rsidRPr="00883D12">
        <w:rPr>
          <w:sz w:val="24"/>
          <w:szCs w:val="24"/>
          <w:u w:val="single"/>
          <w:lang w:val="en-US"/>
        </w:rPr>
        <w:t xml:space="preserve"> </w:t>
      </w:r>
      <w:proofErr w:type="spellStart"/>
      <w:r w:rsidRPr="00883D12">
        <w:rPr>
          <w:sz w:val="24"/>
          <w:szCs w:val="24"/>
          <w:u w:val="single"/>
          <w:lang w:val="en-US"/>
        </w:rPr>
        <w:t>Française</w:t>
      </w:r>
      <w:proofErr w:type="spellEnd"/>
      <w:r w:rsidRPr="00883D12">
        <w:rPr>
          <w:sz w:val="24"/>
          <w:szCs w:val="24"/>
          <w:u w:val="single"/>
          <w:lang w:val="en-US"/>
        </w:rPr>
        <w:t xml:space="preserve"> </w:t>
      </w:r>
      <w:proofErr w:type="spellStart"/>
      <w:r w:rsidRPr="00883D12">
        <w:rPr>
          <w:sz w:val="24"/>
          <w:szCs w:val="24"/>
          <w:u w:val="single"/>
          <w:lang w:val="en-US"/>
        </w:rPr>
        <w:t>d’Oxford</w:t>
      </w:r>
      <w:proofErr w:type="spellEnd"/>
    </w:p>
    <w:p w14:paraId="6A02BF09" w14:textId="77777777" w:rsidR="001F2B64" w:rsidRPr="00883D12" w:rsidRDefault="001F2B64" w:rsidP="00883D12">
      <w:pPr>
        <w:pStyle w:val="Essay"/>
        <w:rPr>
          <w:sz w:val="24"/>
          <w:szCs w:val="24"/>
          <w:u w:val="single"/>
          <w:lang w:val="en-US"/>
        </w:rPr>
      </w:pPr>
      <w:r w:rsidRPr="00F97D79">
        <w:rPr>
          <w:rFonts w:eastAsia="Times New Roman"/>
          <w:i/>
          <w:sz w:val="20"/>
          <w:szCs w:val="20"/>
          <w:lang w:val="en-GB"/>
        </w:rPr>
        <w:t>This paper discusses the linguistic legacy of WW1 reportage in Malta, particularly in view of the colonial relationship with Britain. Three Maltese newspapers of the era, each catering to a different social stratum, are taken as case studies and qualitative discourse analysis is applied to identify embedded propagandist techniques and thereby determine whether the published text was pro-British in nature. Contextualization and theoretical analysis reveal that the ability for mass audience manipulation has been intrinsically linked with the language of publication and a disparity exists in attitudes towards the colonizers when covering domestic or international affairs.</w:t>
      </w:r>
    </w:p>
    <w:p w14:paraId="0667A001" w14:textId="77777777" w:rsidR="00883D12" w:rsidRPr="00883D12" w:rsidRDefault="00883D12" w:rsidP="00883D12">
      <w:pPr>
        <w:pStyle w:val="Essay"/>
        <w:rPr>
          <w:b/>
          <w:sz w:val="24"/>
          <w:szCs w:val="24"/>
          <w:lang w:val="en-GB"/>
        </w:rPr>
      </w:pPr>
    </w:p>
    <w:p w14:paraId="5071F0C6" w14:textId="77777777" w:rsidR="00883D12" w:rsidRPr="00883D12" w:rsidRDefault="00883D12" w:rsidP="00883D12">
      <w:pPr>
        <w:pStyle w:val="Essay"/>
        <w:rPr>
          <w:b/>
          <w:sz w:val="24"/>
          <w:szCs w:val="24"/>
          <w:lang w:val="en-GB"/>
        </w:rPr>
      </w:pPr>
      <w:r w:rsidRPr="00883D12">
        <w:rPr>
          <w:b/>
          <w:sz w:val="24"/>
          <w:szCs w:val="24"/>
          <w:lang w:val="en-GB"/>
        </w:rPr>
        <w:t>The Politics of Identity:</w:t>
      </w:r>
    </w:p>
    <w:p w14:paraId="3E2EAE6D" w14:textId="77777777" w:rsidR="00883D12" w:rsidRPr="00883D12" w:rsidRDefault="00883D12" w:rsidP="00883D12">
      <w:pPr>
        <w:pStyle w:val="Essay"/>
        <w:rPr>
          <w:sz w:val="24"/>
          <w:szCs w:val="24"/>
        </w:rPr>
      </w:pPr>
      <w:r w:rsidRPr="00883D12">
        <w:rPr>
          <w:sz w:val="24"/>
          <w:szCs w:val="24"/>
        </w:rPr>
        <w:t>Chair – Greg Hynes</w:t>
      </w:r>
    </w:p>
    <w:p w14:paraId="1FE664EA" w14:textId="77777777" w:rsidR="00883D12" w:rsidRPr="00883D12" w:rsidRDefault="001F2B64" w:rsidP="00883D12">
      <w:pPr>
        <w:pStyle w:val="Essay"/>
        <w:rPr>
          <w:i/>
          <w:sz w:val="24"/>
          <w:szCs w:val="24"/>
        </w:rPr>
      </w:pPr>
      <w:r>
        <w:rPr>
          <w:i/>
          <w:sz w:val="24"/>
          <w:szCs w:val="24"/>
        </w:rPr>
        <w:t>Colin Matthew</w:t>
      </w:r>
      <w:r w:rsidR="00883D12" w:rsidRPr="00883D12">
        <w:rPr>
          <w:i/>
          <w:sz w:val="24"/>
          <w:szCs w:val="24"/>
        </w:rPr>
        <w:t xml:space="preserve"> Room</w:t>
      </w:r>
    </w:p>
    <w:p w14:paraId="64BA2C43" w14:textId="77777777" w:rsidR="00883D12" w:rsidRPr="00883D12" w:rsidRDefault="00883D12" w:rsidP="00883D12">
      <w:pPr>
        <w:pStyle w:val="Essay"/>
        <w:rPr>
          <w:sz w:val="24"/>
          <w:szCs w:val="24"/>
        </w:rPr>
      </w:pPr>
      <w:r w:rsidRPr="00883D12">
        <w:rPr>
          <w:sz w:val="24"/>
          <w:szCs w:val="24"/>
        </w:rPr>
        <w:t>The Great War in Canadian Liberal Thought: Nationalism, Britishness, and Empire, 1914-1919</w:t>
      </w:r>
    </w:p>
    <w:p w14:paraId="5540FC93" w14:textId="77777777" w:rsidR="00883D12" w:rsidRPr="00883D12" w:rsidRDefault="00883D12" w:rsidP="00883D12">
      <w:pPr>
        <w:pStyle w:val="Essay"/>
        <w:rPr>
          <w:sz w:val="24"/>
          <w:szCs w:val="24"/>
          <w:u w:val="single"/>
        </w:rPr>
      </w:pPr>
      <w:r w:rsidRPr="00883D12">
        <w:rPr>
          <w:sz w:val="24"/>
          <w:szCs w:val="24"/>
          <w:u w:val="single"/>
        </w:rPr>
        <w:t>Graeme Thompson, University of Oxford</w:t>
      </w:r>
    </w:p>
    <w:p w14:paraId="3926855E" w14:textId="77777777" w:rsidR="00883D12" w:rsidRDefault="001F2B64" w:rsidP="00883D12">
      <w:pPr>
        <w:pStyle w:val="Essay"/>
        <w:rPr>
          <w:i/>
          <w:sz w:val="20"/>
          <w:szCs w:val="20"/>
        </w:rPr>
      </w:pPr>
      <w:r w:rsidRPr="00F97D79">
        <w:rPr>
          <w:i/>
          <w:sz w:val="20"/>
          <w:szCs w:val="20"/>
        </w:rPr>
        <w:t>The Great War is commonly regarded as an event that affirmed Canadian nationalism and independence. But did Canadian liberals believe that participation in the conflict would extinguish their British connection? This paper examines how Canada's Great War was fought, not only in the mud of Flanders, but in political and ideological disputes over Canada's place in the British Empire.</w:t>
      </w:r>
    </w:p>
    <w:p w14:paraId="15D74B8E" w14:textId="77777777" w:rsidR="001F2B64" w:rsidRPr="00883D12" w:rsidRDefault="001F2B64" w:rsidP="00883D12">
      <w:pPr>
        <w:pStyle w:val="Essay"/>
        <w:rPr>
          <w:iCs/>
          <w:sz w:val="24"/>
          <w:szCs w:val="24"/>
          <w:lang w:val="en-GB"/>
        </w:rPr>
      </w:pPr>
    </w:p>
    <w:p w14:paraId="7F7A4958" w14:textId="77777777" w:rsidR="00883D12" w:rsidRPr="00883D12" w:rsidRDefault="00883D12" w:rsidP="00883D12">
      <w:pPr>
        <w:pStyle w:val="Essay"/>
        <w:rPr>
          <w:iCs/>
          <w:sz w:val="24"/>
          <w:szCs w:val="24"/>
          <w:lang w:val="en-GB"/>
        </w:rPr>
      </w:pPr>
      <w:r w:rsidRPr="00883D12">
        <w:rPr>
          <w:iCs/>
          <w:sz w:val="24"/>
          <w:szCs w:val="24"/>
          <w:lang w:val="en-GB"/>
        </w:rPr>
        <w:t>“Falcons of France”</w:t>
      </w:r>
      <w:proofErr w:type="gramStart"/>
      <w:r w:rsidRPr="00883D12">
        <w:rPr>
          <w:iCs/>
          <w:sz w:val="24"/>
          <w:szCs w:val="24"/>
          <w:lang w:val="en-GB"/>
        </w:rPr>
        <w:t>?:</w:t>
      </w:r>
      <w:proofErr w:type="gramEnd"/>
      <w:r w:rsidRPr="00883D12">
        <w:rPr>
          <w:iCs/>
          <w:sz w:val="24"/>
          <w:szCs w:val="24"/>
          <w:lang w:val="en-GB"/>
        </w:rPr>
        <w:t xml:space="preserve"> The Transnational Military Identity Politics of the Lafayette  Escadrille</w:t>
      </w:r>
    </w:p>
    <w:p w14:paraId="115CAF1B" w14:textId="77777777" w:rsidR="00883D12" w:rsidRPr="00883D12" w:rsidRDefault="00883D12" w:rsidP="00883D12">
      <w:pPr>
        <w:pStyle w:val="Essay"/>
        <w:rPr>
          <w:sz w:val="24"/>
          <w:szCs w:val="24"/>
          <w:u w:val="single"/>
          <w:lang w:val="en-GB"/>
        </w:rPr>
      </w:pPr>
      <w:r w:rsidRPr="00883D12">
        <w:rPr>
          <w:sz w:val="24"/>
          <w:szCs w:val="24"/>
          <w:u w:val="single"/>
          <w:lang w:val="en-GB"/>
        </w:rPr>
        <w:t>Jack Doyle, University of Oxford</w:t>
      </w:r>
    </w:p>
    <w:p w14:paraId="2BB65548" w14:textId="77777777" w:rsidR="00883D12" w:rsidRDefault="001F2B64" w:rsidP="00883D12">
      <w:pPr>
        <w:pStyle w:val="Essay"/>
        <w:rPr>
          <w:sz w:val="24"/>
          <w:szCs w:val="24"/>
          <w:lang w:val="en-US"/>
        </w:rPr>
      </w:pPr>
      <w:r w:rsidRPr="00F97D79">
        <w:rPr>
          <w:rFonts w:eastAsia="Times New Roman"/>
          <w:i/>
          <w:color w:val="000000"/>
          <w:sz w:val="20"/>
          <w:szCs w:val="20"/>
        </w:rPr>
        <w:t>Using pilots' memoirs and letters, this paper examines changing transnational perspectives on soldierhood and masculinity during the First World War through the experiences of the Lafayette Escadrille. An American volunteer squadron in the French Aéronautique Militaire, the Lafayette Escadrille was widely publicised and celebrated for military and diplomatic purposes. This paper deconstructs the squadron's subsequent self-creation as a mythical elite to shed light on the unique role First World War aviators played in influencing popular understandings of war and legitimate violence.</w:t>
      </w:r>
    </w:p>
    <w:p w14:paraId="0CF28706" w14:textId="77777777" w:rsidR="001F2B64" w:rsidRPr="00883D12" w:rsidRDefault="001F2B64" w:rsidP="00883D12">
      <w:pPr>
        <w:pStyle w:val="Essay"/>
        <w:rPr>
          <w:sz w:val="24"/>
          <w:szCs w:val="24"/>
          <w:lang w:val="en-US"/>
        </w:rPr>
      </w:pPr>
    </w:p>
    <w:p w14:paraId="4F3298D1" w14:textId="77777777" w:rsidR="00883D12" w:rsidRPr="00883D12" w:rsidRDefault="00883D12" w:rsidP="00883D12">
      <w:pPr>
        <w:pStyle w:val="Essay"/>
        <w:rPr>
          <w:sz w:val="24"/>
          <w:szCs w:val="24"/>
          <w:u w:val="single"/>
        </w:rPr>
      </w:pPr>
      <w:r w:rsidRPr="00883D12">
        <w:rPr>
          <w:sz w:val="24"/>
          <w:szCs w:val="24"/>
        </w:rPr>
        <w:t>The Ruminations</w:t>
      </w:r>
      <w:r w:rsidR="00765CDA">
        <w:rPr>
          <w:sz w:val="24"/>
          <w:szCs w:val="24"/>
        </w:rPr>
        <w:t xml:space="preserve"> of an Exiled Japanese Anarchist in O</w:t>
      </w:r>
      <w:r w:rsidRPr="00883D12">
        <w:rPr>
          <w:sz w:val="24"/>
          <w:szCs w:val="24"/>
        </w:rPr>
        <w:t>ccupied Belgium</w:t>
      </w:r>
    </w:p>
    <w:p w14:paraId="631D6722" w14:textId="77777777" w:rsidR="00883D12" w:rsidRPr="00883D12" w:rsidRDefault="00883D12" w:rsidP="00883D12">
      <w:pPr>
        <w:pStyle w:val="Essay"/>
        <w:rPr>
          <w:sz w:val="24"/>
          <w:szCs w:val="24"/>
        </w:rPr>
      </w:pPr>
      <w:r w:rsidRPr="00883D12">
        <w:rPr>
          <w:sz w:val="24"/>
          <w:szCs w:val="24"/>
          <w:u w:val="single"/>
        </w:rPr>
        <w:t>Nadine Willems, University of Oxford</w:t>
      </w:r>
    </w:p>
    <w:p w14:paraId="7A0A820D" w14:textId="77777777" w:rsidR="00883D12" w:rsidRDefault="001F2B64" w:rsidP="00883D12">
      <w:pPr>
        <w:pStyle w:val="Essay"/>
        <w:rPr>
          <w:b/>
          <w:sz w:val="24"/>
          <w:szCs w:val="24"/>
          <w:lang w:val="en-GB"/>
        </w:rPr>
      </w:pPr>
      <w:r w:rsidRPr="00F97D79">
        <w:rPr>
          <w:rFonts w:eastAsia="Times New Roman"/>
          <w:i/>
          <w:iCs/>
          <w:spacing w:val="-2"/>
          <w:sz w:val="20"/>
          <w:szCs w:val="20"/>
        </w:rPr>
        <w:t>This paper examines the diary of a Japanese anarchist, exiled and stranded in Brussels for several months at the outbreak of the Great War. It highlights the visionary reflections of this unlikely observer of the conflict and focuses our attention on the Far East as the epicentre of future global conflagration. </w:t>
      </w:r>
    </w:p>
    <w:p w14:paraId="002C32D9" w14:textId="77777777" w:rsidR="001F2B64" w:rsidRPr="00883D12" w:rsidRDefault="001F2B64" w:rsidP="00883D12">
      <w:pPr>
        <w:pStyle w:val="Essay"/>
        <w:rPr>
          <w:b/>
          <w:sz w:val="24"/>
          <w:szCs w:val="24"/>
          <w:lang w:val="en-GB"/>
        </w:rPr>
      </w:pPr>
    </w:p>
    <w:p w14:paraId="3AA767B4" w14:textId="77777777" w:rsidR="00883D12" w:rsidRPr="00883D12" w:rsidRDefault="00883D12" w:rsidP="00883D12">
      <w:pPr>
        <w:pStyle w:val="Essay"/>
        <w:rPr>
          <w:b/>
          <w:sz w:val="24"/>
          <w:szCs w:val="24"/>
          <w:lang w:val="en-GB"/>
        </w:rPr>
      </w:pPr>
      <w:r w:rsidRPr="00883D12">
        <w:rPr>
          <w:b/>
          <w:sz w:val="24"/>
          <w:szCs w:val="24"/>
          <w:lang w:val="en-GB"/>
        </w:rPr>
        <w:t>16.00-16.30: COFFEE</w:t>
      </w:r>
    </w:p>
    <w:p w14:paraId="43423910" w14:textId="77777777" w:rsidR="00883D12" w:rsidRDefault="00883D12" w:rsidP="00883D12">
      <w:pPr>
        <w:pStyle w:val="Essay"/>
        <w:rPr>
          <w:i/>
          <w:sz w:val="24"/>
          <w:szCs w:val="24"/>
          <w:lang w:val="en-GB"/>
        </w:rPr>
      </w:pPr>
      <w:r w:rsidRPr="00883D12">
        <w:rPr>
          <w:i/>
          <w:sz w:val="24"/>
          <w:szCs w:val="24"/>
          <w:lang w:val="en-GB"/>
        </w:rPr>
        <w:t>Common Room</w:t>
      </w:r>
    </w:p>
    <w:p w14:paraId="5E93E66A" w14:textId="77777777" w:rsidR="001F2B64" w:rsidRDefault="001F2B64" w:rsidP="00883D12">
      <w:pPr>
        <w:pStyle w:val="Essay"/>
        <w:rPr>
          <w:i/>
          <w:sz w:val="24"/>
          <w:szCs w:val="24"/>
          <w:lang w:val="en-GB"/>
        </w:rPr>
      </w:pPr>
    </w:p>
    <w:p w14:paraId="6AFB54E9" w14:textId="77777777" w:rsidR="00DA7C33" w:rsidRDefault="00DA7C33" w:rsidP="00883D12">
      <w:pPr>
        <w:pStyle w:val="Essay"/>
        <w:rPr>
          <w:i/>
          <w:sz w:val="24"/>
          <w:szCs w:val="24"/>
          <w:lang w:val="en-GB"/>
        </w:rPr>
      </w:pPr>
    </w:p>
    <w:p w14:paraId="46F557C5" w14:textId="77777777" w:rsidR="00DA7C33" w:rsidRDefault="00DA7C33" w:rsidP="00883D12">
      <w:pPr>
        <w:pStyle w:val="Essay"/>
        <w:rPr>
          <w:i/>
          <w:sz w:val="24"/>
          <w:szCs w:val="24"/>
          <w:lang w:val="en-GB"/>
        </w:rPr>
      </w:pPr>
    </w:p>
    <w:p w14:paraId="4D34F469" w14:textId="77777777" w:rsidR="00DA7C33" w:rsidRDefault="00DA7C33" w:rsidP="00883D12">
      <w:pPr>
        <w:pStyle w:val="Essay"/>
        <w:rPr>
          <w:i/>
          <w:sz w:val="24"/>
          <w:szCs w:val="24"/>
          <w:lang w:val="en-GB"/>
        </w:rPr>
      </w:pPr>
    </w:p>
    <w:p w14:paraId="039143CE" w14:textId="77777777" w:rsidR="00DA7C33" w:rsidRDefault="00DA7C33" w:rsidP="00883D12">
      <w:pPr>
        <w:pStyle w:val="Essay"/>
        <w:rPr>
          <w:i/>
          <w:sz w:val="24"/>
          <w:szCs w:val="24"/>
          <w:lang w:val="en-GB"/>
        </w:rPr>
      </w:pPr>
    </w:p>
    <w:p w14:paraId="76E2D946" w14:textId="77777777" w:rsidR="00DA7C33" w:rsidRDefault="00DA7C33" w:rsidP="00883D12">
      <w:pPr>
        <w:pStyle w:val="Essay"/>
        <w:rPr>
          <w:i/>
          <w:sz w:val="24"/>
          <w:szCs w:val="24"/>
          <w:lang w:val="en-GB"/>
        </w:rPr>
      </w:pPr>
    </w:p>
    <w:p w14:paraId="77B64F68" w14:textId="77777777" w:rsidR="00DA7C33" w:rsidRDefault="00DA7C33" w:rsidP="00883D12">
      <w:pPr>
        <w:pStyle w:val="Essay"/>
        <w:rPr>
          <w:i/>
          <w:sz w:val="24"/>
          <w:szCs w:val="24"/>
          <w:lang w:val="en-GB"/>
        </w:rPr>
      </w:pPr>
    </w:p>
    <w:p w14:paraId="28114816" w14:textId="77777777" w:rsidR="00883D12" w:rsidRPr="00883D12" w:rsidRDefault="00883D12" w:rsidP="00883D12">
      <w:pPr>
        <w:pStyle w:val="Essay"/>
        <w:rPr>
          <w:b/>
          <w:sz w:val="24"/>
          <w:szCs w:val="24"/>
          <w:lang w:val="en-GB"/>
        </w:rPr>
      </w:pPr>
      <w:r w:rsidRPr="00883D12">
        <w:rPr>
          <w:b/>
          <w:sz w:val="24"/>
          <w:szCs w:val="24"/>
          <w:lang w:val="en-GB"/>
        </w:rPr>
        <w:t>16.30-18.00: Panel Six</w:t>
      </w:r>
    </w:p>
    <w:p w14:paraId="3A073ED9" w14:textId="77777777" w:rsidR="00883D12" w:rsidRPr="00883D12" w:rsidRDefault="00883D12" w:rsidP="00883D12">
      <w:pPr>
        <w:pStyle w:val="Essay"/>
        <w:rPr>
          <w:b/>
          <w:sz w:val="24"/>
          <w:szCs w:val="24"/>
          <w:lang w:val="en-GB"/>
        </w:rPr>
      </w:pPr>
      <w:r w:rsidRPr="00883D12">
        <w:rPr>
          <w:b/>
          <w:sz w:val="24"/>
          <w:szCs w:val="24"/>
          <w:lang w:val="en-GB"/>
        </w:rPr>
        <w:t>Globalising and Localising the Great War:</w:t>
      </w:r>
    </w:p>
    <w:p w14:paraId="4302CFEB" w14:textId="77777777" w:rsidR="00883D12" w:rsidRPr="00883D12" w:rsidRDefault="00883D12" w:rsidP="00883D12">
      <w:pPr>
        <w:pStyle w:val="Essay"/>
        <w:rPr>
          <w:sz w:val="24"/>
          <w:szCs w:val="24"/>
          <w:lang w:val="en-GB"/>
        </w:rPr>
      </w:pPr>
      <w:r w:rsidRPr="00883D12">
        <w:rPr>
          <w:sz w:val="24"/>
          <w:szCs w:val="24"/>
          <w:lang w:val="en-GB"/>
        </w:rPr>
        <w:t>Chair – Aoife O’Gorman</w:t>
      </w:r>
    </w:p>
    <w:p w14:paraId="5DEF2FFA" w14:textId="77777777" w:rsidR="00883D12" w:rsidRPr="00883D12" w:rsidRDefault="00883D12" w:rsidP="00883D12">
      <w:pPr>
        <w:pStyle w:val="Essay"/>
        <w:rPr>
          <w:i/>
          <w:sz w:val="24"/>
          <w:szCs w:val="24"/>
          <w:lang w:val="en-GB"/>
        </w:rPr>
      </w:pPr>
      <w:r w:rsidRPr="00883D12">
        <w:rPr>
          <w:i/>
          <w:sz w:val="24"/>
          <w:szCs w:val="24"/>
          <w:lang w:val="en-GB"/>
        </w:rPr>
        <w:t>Lecture Theatre</w:t>
      </w:r>
    </w:p>
    <w:p w14:paraId="3C108035" w14:textId="77777777" w:rsidR="00883D12" w:rsidRPr="00883D12" w:rsidRDefault="00883D12" w:rsidP="00883D12">
      <w:pPr>
        <w:pStyle w:val="Essay"/>
        <w:rPr>
          <w:sz w:val="24"/>
          <w:szCs w:val="24"/>
          <w:lang w:val="en-GB"/>
        </w:rPr>
      </w:pPr>
      <w:r w:rsidRPr="00883D12">
        <w:rPr>
          <w:sz w:val="24"/>
          <w:szCs w:val="24"/>
          <w:lang w:val="en-GB"/>
        </w:rPr>
        <w:t xml:space="preserve">Between Mobilisation and Experience: Rural Communities and </w:t>
      </w:r>
      <w:proofErr w:type="spellStart"/>
      <w:r w:rsidRPr="00883D12">
        <w:rPr>
          <w:sz w:val="24"/>
          <w:szCs w:val="24"/>
          <w:lang w:val="en-GB"/>
        </w:rPr>
        <w:t>Rurality</w:t>
      </w:r>
      <w:proofErr w:type="spellEnd"/>
      <w:r w:rsidRPr="00883D12">
        <w:rPr>
          <w:sz w:val="24"/>
          <w:szCs w:val="24"/>
          <w:lang w:val="en-GB"/>
        </w:rPr>
        <w:t xml:space="preserve"> in Sicily, May 1915 – June 1916</w:t>
      </w:r>
    </w:p>
    <w:p w14:paraId="60134ACB" w14:textId="77777777" w:rsidR="00883D12" w:rsidRPr="00883D12" w:rsidRDefault="00883D12" w:rsidP="00883D12">
      <w:pPr>
        <w:pStyle w:val="Essay"/>
        <w:rPr>
          <w:sz w:val="24"/>
          <w:szCs w:val="24"/>
          <w:u w:val="single"/>
          <w:lang w:val="en-GB"/>
        </w:rPr>
      </w:pPr>
      <w:r w:rsidRPr="00883D12">
        <w:rPr>
          <w:sz w:val="24"/>
          <w:szCs w:val="24"/>
          <w:u w:val="single"/>
          <w:lang w:val="en-GB"/>
        </w:rPr>
        <w:t>Sean Brady, Trinity College Dublin</w:t>
      </w:r>
    </w:p>
    <w:p w14:paraId="5F2929E8" w14:textId="77777777" w:rsidR="00883D12" w:rsidRDefault="001F2B64" w:rsidP="00883D12">
      <w:pPr>
        <w:pStyle w:val="Essay"/>
        <w:rPr>
          <w:sz w:val="24"/>
          <w:szCs w:val="24"/>
          <w:lang w:val="en-GB"/>
        </w:rPr>
      </w:pPr>
      <w:r w:rsidRPr="00F97D79">
        <w:rPr>
          <w:i/>
          <w:sz w:val="20"/>
          <w:szCs w:val="20"/>
        </w:rPr>
        <w:t>This paper uses a regional case-study of Sicily in the first year of Italy’s Great War to examine the rural dimensions of the civilian mobilisation process. It explores concepts of rurality that informed how contemporaries saw the war effort, the different challenges faced by rural communities in wartime, and the contradictions that developed between the ‘real’ and ‘imagined’ war experiences of rural populations.</w:t>
      </w:r>
    </w:p>
    <w:p w14:paraId="49399328" w14:textId="77777777" w:rsidR="001F2B64" w:rsidRPr="00883D12" w:rsidRDefault="001F2B64" w:rsidP="00883D12">
      <w:pPr>
        <w:pStyle w:val="Essay"/>
        <w:rPr>
          <w:sz w:val="24"/>
          <w:szCs w:val="24"/>
          <w:lang w:val="en-GB"/>
        </w:rPr>
      </w:pPr>
    </w:p>
    <w:p w14:paraId="40CF3242" w14:textId="77777777" w:rsidR="00883D12" w:rsidRPr="00883D12" w:rsidRDefault="00883D12" w:rsidP="00883D12">
      <w:pPr>
        <w:pStyle w:val="Essay"/>
        <w:rPr>
          <w:sz w:val="24"/>
          <w:szCs w:val="24"/>
          <w:lang w:val="en-US"/>
        </w:rPr>
      </w:pPr>
      <w:r w:rsidRPr="00883D12">
        <w:rPr>
          <w:sz w:val="24"/>
          <w:szCs w:val="24"/>
          <w:lang w:val="en-US"/>
        </w:rPr>
        <w:t>The Use of Local Forces in the Middle Eastern Theater of World War One</w:t>
      </w:r>
    </w:p>
    <w:p w14:paraId="67C7E7D0" w14:textId="77777777" w:rsidR="00883D12" w:rsidRPr="00883D12" w:rsidRDefault="00883D12" w:rsidP="00883D12">
      <w:pPr>
        <w:pStyle w:val="Essay"/>
        <w:rPr>
          <w:i/>
          <w:iCs/>
          <w:sz w:val="24"/>
          <w:szCs w:val="24"/>
          <w:u w:val="single"/>
          <w:lang w:val="en-GB"/>
        </w:rPr>
      </w:pPr>
      <w:proofErr w:type="spellStart"/>
      <w:r w:rsidRPr="00883D12">
        <w:rPr>
          <w:sz w:val="24"/>
          <w:szCs w:val="24"/>
          <w:u w:val="single"/>
          <w:lang w:val="en-GB"/>
        </w:rPr>
        <w:t>Clothilde</w:t>
      </w:r>
      <w:proofErr w:type="spellEnd"/>
      <w:r w:rsidRPr="00883D12">
        <w:rPr>
          <w:sz w:val="24"/>
          <w:szCs w:val="24"/>
          <w:u w:val="single"/>
          <w:lang w:val="en-GB"/>
        </w:rPr>
        <w:t xml:space="preserve"> </w:t>
      </w:r>
      <w:proofErr w:type="spellStart"/>
      <w:r w:rsidRPr="00883D12">
        <w:rPr>
          <w:sz w:val="24"/>
          <w:szCs w:val="24"/>
          <w:u w:val="single"/>
          <w:lang w:val="en-GB"/>
        </w:rPr>
        <w:t>Houot</w:t>
      </w:r>
      <w:proofErr w:type="spellEnd"/>
      <w:r w:rsidRPr="00883D12">
        <w:rPr>
          <w:sz w:val="24"/>
          <w:szCs w:val="24"/>
          <w:u w:val="single"/>
          <w:lang w:val="en-GB"/>
        </w:rPr>
        <w:t xml:space="preserve">, </w:t>
      </w:r>
      <w:proofErr w:type="spellStart"/>
      <w:r w:rsidRPr="00883D12">
        <w:rPr>
          <w:sz w:val="24"/>
          <w:szCs w:val="24"/>
          <w:u w:val="single"/>
          <w:lang w:val="en-GB"/>
        </w:rPr>
        <w:t>Université</w:t>
      </w:r>
      <w:proofErr w:type="spellEnd"/>
      <w:r w:rsidRPr="00883D12">
        <w:rPr>
          <w:sz w:val="24"/>
          <w:szCs w:val="24"/>
          <w:u w:val="single"/>
          <w:lang w:val="en-GB"/>
        </w:rPr>
        <w:t xml:space="preserve"> Paris/ University of Oxford (GLGW Programme) / </w:t>
      </w:r>
      <w:proofErr w:type="spellStart"/>
      <w:r w:rsidRPr="00883D12">
        <w:rPr>
          <w:sz w:val="24"/>
          <w:szCs w:val="24"/>
          <w:u w:val="single"/>
          <w:lang w:val="en-GB"/>
        </w:rPr>
        <w:t>Maison</w:t>
      </w:r>
      <w:proofErr w:type="spellEnd"/>
      <w:r w:rsidRPr="00883D12">
        <w:rPr>
          <w:sz w:val="24"/>
          <w:szCs w:val="24"/>
          <w:u w:val="single"/>
          <w:lang w:val="en-GB"/>
        </w:rPr>
        <w:t xml:space="preserve"> </w:t>
      </w:r>
      <w:proofErr w:type="spellStart"/>
      <w:r w:rsidRPr="00883D12">
        <w:rPr>
          <w:sz w:val="24"/>
          <w:szCs w:val="24"/>
          <w:u w:val="single"/>
          <w:lang w:val="en-GB"/>
        </w:rPr>
        <w:t>Française</w:t>
      </w:r>
      <w:proofErr w:type="spellEnd"/>
      <w:r w:rsidRPr="00883D12">
        <w:rPr>
          <w:sz w:val="24"/>
          <w:szCs w:val="24"/>
          <w:u w:val="single"/>
          <w:lang w:val="en-GB"/>
        </w:rPr>
        <w:t xml:space="preserve"> </w:t>
      </w:r>
      <w:proofErr w:type="spellStart"/>
      <w:r w:rsidRPr="00883D12">
        <w:rPr>
          <w:sz w:val="24"/>
          <w:szCs w:val="24"/>
          <w:u w:val="single"/>
          <w:lang w:val="en-GB"/>
        </w:rPr>
        <w:t>d'Oxford</w:t>
      </w:r>
      <w:proofErr w:type="spellEnd"/>
    </w:p>
    <w:p w14:paraId="7B150E98" w14:textId="77777777" w:rsidR="00883D12" w:rsidRDefault="001F2B64" w:rsidP="00883D12">
      <w:pPr>
        <w:pStyle w:val="Essay"/>
        <w:rPr>
          <w:rFonts w:eastAsia="Times New Roman"/>
          <w:i/>
          <w:sz w:val="20"/>
          <w:szCs w:val="20"/>
        </w:rPr>
      </w:pPr>
      <w:r w:rsidRPr="00F97D79">
        <w:rPr>
          <w:rFonts w:eastAsia="Times New Roman"/>
          <w:i/>
          <w:sz w:val="20"/>
          <w:szCs w:val="20"/>
        </w:rPr>
        <w:t>In the wake of the First World War centenary, studies of the Middle East war theater as well as of the employment of so-called "native troops" increased significantly. Taking into account such historiographical progress, this paper aims to reassess a still neglected topic, i.e. the role played by local forces in the Middle Eastern campaigns whether as an offensive, defensive or relief force.</w:t>
      </w:r>
    </w:p>
    <w:p w14:paraId="71DDDCF8" w14:textId="77777777" w:rsidR="001F2B64" w:rsidRPr="00883D12" w:rsidRDefault="001F2B64" w:rsidP="00883D12">
      <w:pPr>
        <w:pStyle w:val="Essay"/>
        <w:rPr>
          <w:iCs/>
          <w:sz w:val="24"/>
          <w:szCs w:val="24"/>
          <w:u w:val="single"/>
          <w:lang w:val="en-GB"/>
        </w:rPr>
      </w:pPr>
    </w:p>
    <w:p w14:paraId="67730AC1" w14:textId="77777777" w:rsidR="00883D12" w:rsidRPr="00883D12" w:rsidRDefault="00641D7B" w:rsidP="00883D12">
      <w:pPr>
        <w:pStyle w:val="Essay"/>
        <w:rPr>
          <w:bCs/>
          <w:sz w:val="24"/>
          <w:szCs w:val="24"/>
          <w:lang w:val="en-GB"/>
        </w:rPr>
      </w:pPr>
      <w:r>
        <w:rPr>
          <w:bCs/>
          <w:sz w:val="24"/>
          <w:szCs w:val="24"/>
          <w:lang w:val="en-GB"/>
        </w:rPr>
        <w:t xml:space="preserve">Between </w:t>
      </w:r>
      <w:proofErr w:type="spellStart"/>
      <w:r>
        <w:rPr>
          <w:bCs/>
          <w:sz w:val="24"/>
          <w:szCs w:val="24"/>
          <w:lang w:val="en-GB"/>
        </w:rPr>
        <w:t>Center</w:t>
      </w:r>
      <w:proofErr w:type="spellEnd"/>
      <w:r>
        <w:rPr>
          <w:bCs/>
          <w:sz w:val="24"/>
          <w:szCs w:val="24"/>
          <w:lang w:val="en-GB"/>
        </w:rPr>
        <w:t xml:space="preserve"> and P</w:t>
      </w:r>
      <w:r w:rsidR="00883D12" w:rsidRPr="00883D12">
        <w:rPr>
          <w:bCs/>
          <w:sz w:val="24"/>
          <w:szCs w:val="24"/>
          <w:lang w:val="en-GB"/>
        </w:rPr>
        <w:t>eriphery: the Portuguese Empire in Africa and the First World War</w:t>
      </w:r>
    </w:p>
    <w:p w14:paraId="43708746" w14:textId="77777777" w:rsidR="00883D12" w:rsidRPr="00883D12" w:rsidRDefault="00883D12" w:rsidP="00883D12">
      <w:pPr>
        <w:pStyle w:val="Essay"/>
        <w:rPr>
          <w:bCs/>
          <w:sz w:val="24"/>
          <w:szCs w:val="24"/>
          <w:u w:val="single"/>
          <w:lang w:val="en-GB"/>
        </w:rPr>
      </w:pPr>
      <w:r w:rsidRPr="00883D12">
        <w:rPr>
          <w:bCs/>
          <w:sz w:val="24"/>
          <w:szCs w:val="24"/>
          <w:u w:val="single"/>
          <w:lang w:val="en-GB"/>
        </w:rPr>
        <w:t xml:space="preserve">Ana Paula </w:t>
      </w:r>
      <w:proofErr w:type="spellStart"/>
      <w:r w:rsidRPr="00883D12">
        <w:rPr>
          <w:bCs/>
          <w:sz w:val="24"/>
          <w:szCs w:val="24"/>
          <w:u w:val="single"/>
          <w:lang w:val="en-GB"/>
        </w:rPr>
        <w:t>Pires</w:t>
      </w:r>
      <w:proofErr w:type="spellEnd"/>
      <w:r w:rsidRPr="00883D12">
        <w:rPr>
          <w:bCs/>
          <w:sz w:val="24"/>
          <w:szCs w:val="24"/>
          <w:u w:val="single"/>
          <w:lang w:val="en-GB"/>
        </w:rPr>
        <w:t xml:space="preserve">, </w:t>
      </w:r>
      <w:proofErr w:type="spellStart"/>
      <w:r w:rsidRPr="00883D12">
        <w:rPr>
          <w:bCs/>
          <w:sz w:val="24"/>
          <w:szCs w:val="24"/>
          <w:u w:val="single"/>
          <w:lang w:val="en-GB"/>
        </w:rPr>
        <w:t>Universidade</w:t>
      </w:r>
      <w:proofErr w:type="spellEnd"/>
      <w:r w:rsidRPr="00883D12">
        <w:rPr>
          <w:bCs/>
          <w:sz w:val="24"/>
          <w:szCs w:val="24"/>
          <w:u w:val="single"/>
          <w:lang w:val="en-GB"/>
        </w:rPr>
        <w:t xml:space="preserve"> Nova de </w:t>
      </w:r>
      <w:proofErr w:type="spellStart"/>
      <w:r w:rsidRPr="00883D12">
        <w:rPr>
          <w:bCs/>
          <w:sz w:val="24"/>
          <w:szCs w:val="24"/>
          <w:u w:val="single"/>
          <w:lang w:val="en-GB"/>
        </w:rPr>
        <w:t>Lisboa</w:t>
      </w:r>
      <w:proofErr w:type="spellEnd"/>
    </w:p>
    <w:p w14:paraId="4F025741" w14:textId="77777777" w:rsidR="00883D12" w:rsidRDefault="001F2B64" w:rsidP="001F2B64">
      <w:pPr>
        <w:pStyle w:val="Essay"/>
        <w:rPr>
          <w:rFonts w:eastAsia="Times New Roman"/>
          <w:i/>
          <w:sz w:val="20"/>
          <w:szCs w:val="20"/>
        </w:rPr>
      </w:pPr>
      <w:r w:rsidRPr="00F97D79">
        <w:rPr>
          <w:rFonts w:eastAsia="Times New Roman"/>
          <w:i/>
          <w:sz w:val="20"/>
          <w:szCs w:val="20"/>
        </w:rPr>
        <w:t>This paper seeks to identify and analyse the main political objectives of the First Republic to the African warfront, questioning, therefore, why with the African Empire so embedded in the national imagination, this front where Portugal was present between 1914 and 1918 and for which the country mobilized some 50,000 men ended up almost always overshadowed by the non-consensual intervention of the Portuguese army in Flanders. </w:t>
      </w:r>
    </w:p>
    <w:p w14:paraId="27DA35C0" w14:textId="77777777" w:rsidR="001F2B64" w:rsidRPr="00883D12" w:rsidRDefault="001F2B64" w:rsidP="001F2B64">
      <w:pPr>
        <w:pStyle w:val="Essay"/>
        <w:rPr>
          <w:b/>
          <w:bCs/>
          <w:sz w:val="24"/>
          <w:szCs w:val="24"/>
          <w:u w:val="single"/>
          <w:lang w:val="en-GB"/>
        </w:rPr>
      </w:pPr>
    </w:p>
    <w:p w14:paraId="794CD81E" w14:textId="77777777" w:rsidR="00883D12" w:rsidRPr="00883D12" w:rsidRDefault="00883D12" w:rsidP="00883D12">
      <w:pPr>
        <w:pStyle w:val="Essay"/>
        <w:jc w:val="center"/>
        <w:rPr>
          <w:b/>
          <w:bCs/>
          <w:sz w:val="24"/>
          <w:szCs w:val="24"/>
          <w:lang w:val="en-GB"/>
        </w:rPr>
      </w:pPr>
      <w:r w:rsidRPr="00883D12">
        <w:rPr>
          <w:b/>
          <w:bCs/>
          <w:sz w:val="24"/>
          <w:szCs w:val="24"/>
          <w:lang w:val="en-GB"/>
        </w:rPr>
        <w:t>Optional Conference Dinner from 19.15</w:t>
      </w:r>
    </w:p>
    <w:p w14:paraId="140C0125" w14:textId="77777777" w:rsidR="00883D12" w:rsidRPr="00883D12" w:rsidRDefault="00883D12" w:rsidP="00883D12">
      <w:pPr>
        <w:pStyle w:val="Essay"/>
        <w:jc w:val="center"/>
        <w:rPr>
          <w:b/>
          <w:bCs/>
          <w:sz w:val="24"/>
          <w:szCs w:val="24"/>
          <w:lang w:val="en-GB"/>
        </w:rPr>
      </w:pPr>
    </w:p>
    <w:p w14:paraId="2B94A0DD" w14:textId="77777777" w:rsidR="00883D12" w:rsidRPr="00883D12" w:rsidRDefault="00883D12" w:rsidP="00883D12">
      <w:pPr>
        <w:pStyle w:val="Essay"/>
        <w:jc w:val="center"/>
        <w:rPr>
          <w:b/>
          <w:bCs/>
          <w:sz w:val="24"/>
          <w:szCs w:val="24"/>
          <w:lang w:val="en-GB"/>
        </w:rPr>
      </w:pPr>
    </w:p>
    <w:p w14:paraId="7FEC0F81" w14:textId="77777777" w:rsidR="00883D12" w:rsidRPr="00883D12" w:rsidRDefault="00883D12" w:rsidP="00883D12">
      <w:pPr>
        <w:pStyle w:val="Essay"/>
        <w:jc w:val="center"/>
        <w:rPr>
          <w:b/>
          <w:bCs/>
          <w:sz w:val="24"/>
          <w:szCs w:val="24"/>
          <w:lang w:val="en-GB"/>
        </w:rPr>
      </w:pPr>
    </w:p>
    <w:p w14:paraId="1E1BC42C" w14:textId="77777777" w:rsidR="00883D12" w:rsidRPr="00883D12" w:rsidRDefault="00883D12" w:rsidP="00883D12">
      <w:pPr>
        <w:pStyle w:val="Essay"/>
        <w:jc w:val="center"/>
        <w:rPr>
          <w:b/>
          <w:bCs/>
          <w:sz w:val="24"/>
          <w:szCs w:val="24"/>
          <w:lang w:val="en-GB"/>
        </w:rPr>
      </w:pPr>
    </w:p>
    <w:p w14:paraId="2A418CA6" w14:textId="77777777" w:rsidR="00883D12" w:rsidRPr="00883D12" w:rsidRDefault="00883D12" w:rsidP="006F786F">
      <w:pPr>
        <w:pStyle w:val="Essay"/>
        <w:jc w:val="center"/>
        <w:rPr>
          <w:b/>
          <w:sz w:val="24"/>
          <w:szCs w:val="24"/>
          <w:lang w:val="en-GB"/>
        </w:rPr>
      </w:pPr>
    </w:p>
    <w:sectPr w:rsidR="00883D12" w:rsidRPr="00883D12" w:rsidSect="00BB38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2"/>
  </w:compat>
  <w:rsids>
    <w:rsidRoot w:val="00F46B01"/>
    <w:rsid w:val="00054FCD"/>
    <w:rsid w:val="0006161A"/>
    <w:rsid w:val="00164055"/>
    <w:rsid w:val="001F2B64"/>
    <w:rsid w:val="0035233A"/>
    <w:rsid w:val="0036201B"/>
    <w:rsid w:val="003F401D"/>
    <w:rsid w:val="004178E4"/>
    <w:rsid w:val="00480DC9"/>
    <w:rsid w:val="00634629"/>
    <w:rsid w:val="00641D7B"/>
    <w:rsid w:val="006F786F"/>
    <w:rsid w:val="00765CDA"/>
    <w:rsid w:val="0077597E"/>
    <w:rsid w:val="0079343E"/>
    <w:rsid w:val="007C25E4"/>
    <w:rsid w:val="008312A5"/>
    <w:rsid w:val="008544F0"/>
    <w:rsid w:val="0088218C"/>
    <w:rsid w:val="00883D12"/>
    <w:rsid w:val="009313C6"/>
    <w:rsid w:val="00963BAF"/>
    <w:rsid w:val="009B0CCE"/>
    <w:rsid w:val="009F398A"/>
    <w:rsid w:val="00A62C4B"/>
    <w:rsid w:val="00A72097"/>
    <w:rsid w:val="00A8199A"/>
    <w:rsid w:val="00AE21A8"/>
    <w:rsid w:val="00AE4BAA"/>
    <w:rsid w:val="00B335F3"/>
    <w:rsid w:val="00B60470"/>
    <w:rsid w:val="00B91176"/>
    <w:rsid w:val="00BB380B"/>
    <w:rsid w:val="00BC1E3B"/>
    <w:rsid w:val="00C72A9F"/>
    <w:rsid w:val="00CB0447"/>
    <w:rsid w:val="00DA7C33"/>
    <w:rsid w:val="00E5705F"/>
    <w:rsid w:val="00E765EF"/>
    <w:rsid w:val="00E85FBB"/>
    <w:rsid w:val="00EC31BB"/>
    <w:rsid w:val="00F46B01"/>
    <w:rsid w:val="00F83E41"/>
    <w:rsid w:val="00FC6418"/>
    <w:rsid w:val="00FD4749"/>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087D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1F2B64"/>
    <w:pPr>
      <w:spacing w:after="0" w:line="240" w:lineRule="auto"/>
    </w:pPr>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say">
    <w:name w:val="Essay"/>
    <w:basedOn w:val="NoSpacing"/>
    <w:qFormat/>
    <w:rsid w:val="00B335F3"/>
    <w:rPr>
      <w:rFonts w:cs="Times New Roman"/>
    </w:rPr>
  </w:style>
  <w:style w:type="paragraph" w:styleId="NoSpacing">
    <w:name w:val="No Spacing"/>
    <w:uiPriority w:val="1"/>
    <w:qFormat/>
    <w:rsid w:val="00B335F3"/>
    <w:pPr>
      <w:spacing w:after="0" w:line="240" w:lineRule="auto"/>
    </w:pPr>
    <w:rPr>
      <w:rFonts w:ascii="Times New Roman" w:hAnsi="Times New Roman"/>
    </w:rPr>
  </w:style>
  <w:style w:type="paragraph" w:styleId="FootnoteText">
    <w:name w:val="footnote text"/>
    <w:basedOn w:val="Essay"/>
    <w:link w:val="FootnoteTextChar"/>
    <w:uiPriority w:val="99"/>
    <w:semiHidden/>
    <w:unhideWhenUsed/>
    <w:rsid w:val="00B335F3"/>
    <w:rPr>
      <w:sz w:val="20"/>
      <w:szCs w:val="20"/>
    </w:rPr>
  </w:style>
  <w:style w:type="character" w:customStyle="1" w:styleId="FootnoteTextChar">
    <w:name w:val="Footnote Text Char"/>
    <w:basedOn w:val="DefaultParagraphFont"/>
    <w:link w:val="FootnoteText"/>
    <w:uiPriority w:val="99"/>
    <w:semiHidden/>
    <w:rsid w:val="00B335F3"/>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6F786F"/>
    <w:rPr>
      <w:rFonts w:ascii="Tahoma" w:hAnsi="Tahoma" w:cs="Tahoma"/>
      <w:sz w:val="16"/>
      <w:szCs w:val="16"/>
    </w:rPr>
  </w:style>
  <w:style w:type="character" w:customStyle="1" w:styleId="BalloonTextChar">
    <w:name w:val="Balloon Text Char"/>
    <w:basedOn w:val="DefaultParagraphFont"/>
    <w:link w:val="BalloonText"/>
    <w:uiPriority w:val="99"/>
    <w:semiHidden/>
    <w:rsid w:val="006F786F"/>
    <w:rPr>
      <w:rFonts w:ascii="Tahoma" w:hAnsi="Tahoma" w:cs="Tahoma"/>
      <w:sz w:val="16"/>
      <w:szCs w:val="16"/>
    </w:rPr>
  </w:style>
  <w:style w:type="character" w:styleId="Hyperlink">
    <w:name w:val="Hyperlink"/>
    <w:basedOn w:val="DefaultParagraphFont"/>
    <w:uiPriority w:val="99"/>
    <w:unhideWhenUsed/>
    <w:rsid w:val="0036201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1514</Words>
  <Characters>8634</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Aoife</dc:creator>
  <cp:lastModifiedBy>Jeanette Atkinson</cp:lastModifiedBy>
  <cp:revision>9</cp:revision>
  <dcterms:created xsi:type="dcterms:W3CDTF">2015-03-16T10:47:00Z</dcterms:created>
  <dcterms:modified xsi:type="dcterms:W3CDTF">2015-03-17T12:14:00Z</dcterms:modified>
</cp:coreProperties>
</file>