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68D4F" w14:textId="77777777" w:rsidR="003A5E29" w:rsidRPr="00224AB7" w:rsidRDefault="003A5E29" w:rsidP="003A5E29">
      <w:pPr>
        <w:jc w:val="both"/>
        <w:rPr>
          <w:lang w:val="nl-BE"/>
        </w:rPr>
      </w:pPr>
    </w:p>
    <w:p w14:paraId="5D07CE90" w14:textId="3D0290B9" w:rsidR="003A5E29" w:rsidRDefault="003A5E29" w:rsidP="003A5E29">
      <w:pPr>
        <w:pStyle w:val="Kop1"/>
        <w:jc w:val="center"/>
      </w:pPr>
      <w:r>
        <w:t>The impact of WWI on marriage</w:t>
      </w:r>
      <w:r w:rsidR="0058356C">
        <w:t>s</w:t>
      </w:r>
      <w:r>
        <w:t xml:space="preserve">, divorces and </w:t>
      </w:r>
    </w:p>
    <w:p w14:paraId="0F8C535E" w14:textId="77777777" w:rsidR="003A5E29" w:rsidRDefault="003A5E29" w:rsidP="008F4925">
      <w:pPr>
        <w:pStyle w:val="Kop1"/>
        <w:spacing w:before="120"/>
        <w:jc w:val="center"/>
      </w:pPr>
      <w:r>
        <w:t>gender relations in Europe</w:t>
      </w:r>
    </w:p>
    <w:p w14:paraId="1566E397" w14:textId="77777777" w:rsidR="003A5E29" w:rsidRPr="006E3F3E" w:rsidRDefault="003A5E29" w:rsidP="003A5E29">
      <w:pPr>
        <w:pStyle w:val="Kop2"/>
        <w:jc w:val="center"/>
        <w:rPr>
          <w:rStyle w:val="Subtielebenadrukking"/>
          <w:rFonts w:asciiTheme="minorHAnsi" w:hAnsiTheme="minorHAnsi" w:cs="Times New Roman"/>
          <w:b w:val="0"/>
          <w:sz w:val="28"/>
          <w:szCs w:val="28"/>
        </w:rPr>
      </w:pPr>
      <w:r w:rsidRPr="006E3F3E">
        <w:rPr>
          <w:rStyle w:val="Subtielebenadrukking"/>
          <w:rFonts w:asciiTheme="minorHAnsi" w:hAnsiTheme="minorHAnsi" w:cs="Times New Roman"/>
          <w:b w:val="0"/>
          <w:sz w:val="28"/>
          <w:szCs w:val="28"/>
        </w:rPr>
        <w:t xml:space="preserve">A conference and an edited volume </w:t>
      </w:r>
    </w:p>
    <w:p w14:paraId="2735D24D" w14:textId="77777777" w:rsidR="003A5E29" w:rsidRPr="006E3F3E" w:rsidRDefault="003A5E29" w:rsidP="003A5E29">
      <w:pPr>
        <w:rPr>
          <w:rFonts w:cs="Times New Roman"/>
          <w:sz w:val="28"/>
          <w:szCs w:val="28"/>
        </w:rPr>
      </w:pPr>
    </w:p>
    <w:p w14:paraId="56D1A186" w14:textId="0F9CA32F" w:rsidR="003A5E29" w:rsidRPr="006E3F3E" w:rsidRDefault="003A5E29" w:rsidP="003A5E29">
      <w:pPr>
        <w:jc w:val="center"/>
        <w:rPr>
          <w:rFonts w:cs="Times New Roman"/>
        </w:rPr>
      </w:pPr>
      <w:r w:rsidRPr="006E3F3E">
        <w:rPr>
          <w:rFonts w:cs="Times New Roman"/>
        </w:rPr>
        <w:t>Conveners</w:t>
      </w:r>
      <w:r w:rsidR="006E609F" w:rsidRPr="006E3F3E">
        <w:rPr>
          <w:rFonts w:cs="Times New Roman"/>
        </w:rPr>
        <w:t xml:space="preserve"> </w:t>
      </w:r>
      <w:r w:rsidR="006E609F" w:rsidRPr="006E3F3E">
        <w:rPr>
          <w:rFonts w:cs="Times New Roman"/>
          <w:lang w:val="en-US"/>
        </w:rPr>
        <w:t xml:space="preserve">&amp; </w:t>
      </w:r>
      <w:r w:rsidRPr="006E3F3E">
        <w:rPr>
          <w:rFonts w:cs="Times New Roman"/>
        </w:rPr>
        <w:t>editors: Saskia Hin, Sandra Br</w:t>
      </w:r>
      <w:r w:rsidR="006E609F" w:rsidRPr="006E3F3E">
        <w:rPr>
          <w:rFonts w:cs="Times New Roman"/>
        </w:rPr>
        <w:t>é</w:t>
      </w:r>
      <w:r w:rsidRPr="006E3F3E">
        <w:rPr>
          <w:rFonts w:cs="Times New Roman"/>
        </w:rPr>
        <w:t>e, Koen Matthijs</w:t>
      </w:r>
    </w:p>
    <w:p w14:paraId="335B18F6" w14:textId="77777777" w:rsidR="007753C2" w:rsidRPr="006E3F3E" w:rsidRDefault="007753C2" w:rsidP="003A5E29">
      <w:pPr>
        <w:jc w:val="center"/>
      </w:pPr>
    </w:p>
    <w:p w14:paraId="48D95727" w14:textId="09D07AD6" w:rsidR="007753C2" w:rsidRPr="006E3F3E" w:rsidRDefault="007753C2" w:rsidP="003A5E29">
      <w:pPr>
        <w:pStyle w:val="Lijstalinea"/>
        <w:jc w:val="center"/>
        <w:rPr>
          <w:sz w:val="20"/>
          <w:szCs w:val="20"/>
        </w:rPr>
      </w:pPr>
      <w:r w:rsidRPr="006E3F3E">
        <w:rPr>
          <w:b/>
          <w:sz w:val="20"/>
          <w:szCs w:val="20"/>
        </w:rPr>
        <w:t>An initiative s</w:t>
      </w:r>
      <w:r w:rsidR="00530B57" w:rsidRPr="006E3F3E">
        <w:rPr>
          <w:b/>
          <w:sz w:val="20"/>
          <w:szCs w:val="20"/>
        </w:rPr>
        <w:t>upporte</w:t>
      </w:r>
      <w:r w:rsidRPr="006E3F3E">
        <w:rPr>
          <w:b/>
          <w:sz w:val="20"/>
          <w:szCs w:val="20"/>
        </w:rPr>
        <w:t>d by</w:t>
      </w:r>
      <w:r w:rsidRPr="006E3F3E">
        <w:rPr>
          <w:sz w:val="20"/>
          <w:szCs w:val="20"/>
        </w:rPr>
        <w:t xml:space="preserve"> the </w:t>
      </w:r>
      <w:r w:rsidRPr="006E3F3E">
        <w:rPr>
          <w:i/>
          <w:sz w:val="20"/>
          <w:szCs w:val="20"/>
        </w:rPr>
        <w:t>WOG Historical Demography</w:t>
      </w:r>
      <w:r w:rsidRPr="006E3F3E">
        <w:rPr>
          <w:sz w:val="20"/>
          <w:szCs w:val="20"/>
        </w:rPr>
        <w:t xml:space="preserve"> (</w:t>
      </w:r>
      <w:hyperlink r:id="rId4" w:history="1">
        <w:r w:rsidRPr="006E3F3E">
          <w:rPr>
            <w:rStyle w:val="Hyperlink"/>
            <w:color w:val="auto"/>
            <w:sz w:val="20"/>
            <w:szCs w:val="20"/>
            <w:u w:val="none"/>
          </w:rPr>
          <w:t>https://soc.kuleuven.be/ceso/historischedemografie/eng/</w:t>
        </w:r>
      </w:hyperlink>
      <w:r w:rsidRPr="006E3F3E">
        <w:rPr>
          <w:sz w:val="20"/>
          <w:szCs w:val="20"/>
        </w:rPr>
        <w:t xml:space="preserve">), </w:t>
      </w:r>
    </w:p>
    <w:p w14:paraId="66DCBF1E" w14:textId="739EC5E5" w:rsidR="003A5E29" w:rsidRPr="006E3F3E" w:rsidRDefault="007753C2" w:rsidP="003A5E29">
      <w:pPr>
        <w:pStyle w:val="Lijstalinea"/>
        <w:jc w:val="center"/>
        <w:rPr>
          <w:sz w:val="20"/>
          <w:szCs w:val="20"/>
        </w:rPr>
      </w:pPr>
      <w:r w:rsidRPr="006E3F3E">
        <w:rPr>
          <w:i/>
          <w:sz w:val="20"/>
          <w:szCs w:val="20"/>
        </w:rPr>
        <w:t>The Great War from Below</w:t>
      </w:r>
      <w:r w:rsidRPr="006E3F3E">
        <w:rPr>
          <w:sz w:val="20"/>
          <w:szCs w:val="20"/>
        </w:rPr>
        <w:t xml:space="preserve"> (</w:t>
      </w:r>
      <w:hyperlink r:id="rId5" w:history="1">
        <w:r w:rsidR="00530B57" w:rsidRPr="006E3F3E">
          <w:rPr>
            <w:rStyle w:val="Hyperlink"/>
            <w:color w:val="auto"/>
            <w:sz w:val="20"/>
            <w:szCs w:val="20"/>
            <w:u w:val="none"/>
          </w:rPr>
          <w:t>www.thegreatwarfrombelow.org</w:t>
        </w:r>
      </w:hyperlink>
      <w:r w:rsidRPr="006E3F3E">
        <w:rPr>
          <w:sz w:val="20"/>
          <w:szCs w:val="20"/>
        </w:rPr>
        <w:t>)</w:t>
      </w:r>
      <w:r w:rsidR="00530B57" w:rsidRPr="006E3F3E">
        <w:rPr>
          <w:sz w:val="20"/>
          <w:szCs w:val="20"/>
        </w:rPr>
        <w:t xml:space="preserve"> and the </w:t>
      </w:r>
      <w:r w:rsidR="00530B57" w:rsidRPr="006E3F3E">
        <w:rPr>
          <w:i/>
          <w:sz w:val="20"/>
          <w:szCs w:val="20"/>
        </w:rPr>
        <w:t>Sociéte de Démographie Historique</w:t>
      </w:r>
      <w:r w:rsidR="00530B57" w:rsidRPr="006E3F3E">
        <w:rPr>
          <w:sz w:val="20"/>
          <w:szCs w:val="20"/>
        </w:rPr>
        <w:t xml:space="preserve"> (http://www.societededemographiehistorique.fr/)</w:t>
      </w:r>
    </w:p>
    <w:p w14:paraId="3D9CBF69" w14:textId="77777777" w:rsidR="003A5E29" w:rsidRDefault="003A5E29" w:rsidP="003A5E29">
      <w:pPr>
        <w:jc w:val="both"/>
      </w:pPr>
    </w:p>
    <w:p w14:paraId="4167ECFF" w14:textId="77777777" w:rsidR="003A5E29" w:rsidRPr="006E3F3E" w:rsidRDefault="003A5E29" w:rsidP="003A5E29">
      <w:pPr>
        <w:jc w:val="both"/>
        <w:rPr>
          <w:sz w:val="22"/>
          <w:szCs w:val="22"/>
        </w:rPr>
      </w:pPr>
    </w:p>
    <w:p w14:paraId="321C093E" w14:textId="30B4D02F" w:rsidR="000B72C9" w:rsidRDefault="003A5E29" w:rsidP="000B72C9">
      <w:pPr>
        <w:jc w:val="both"/>
        <w:rPr>
          <w:sz w:val="22"/>
          <w:szCs w:val="22"/>
          <w:lang w:val="en-US"/>
        </w:rPr>
      </w:pPr>
      <w:r w:rsidRPr="000B72C9">
        <w:rPr>
          <w:rFonts w:cs="Times New Roman"/>
          <w:sz w:val="22"/>
          <w:szCs w:val="22"/>
        </w:rPr>
        <w:t xml:space="preserve">The First World War is often thought to have had positive implications for gender equality and the position of women in Europe (cf. e.g. Dumont </w:t>
      </w:r>
      <w:r w:rsidRPr="000B72C9">
        <w:rPr>
          <w:rFonts w:cs="Times New Roman"/>
          <w:i/>
          <w:sz w:val="22"/>
          <w:szCs w:val="22"/>
        </w:rPr>
        <w:t>et al</w:t>
      </w:r>
      <w:r w:rsidRPr="000B72C9">
        <w:rPr>
          <w:rFonts w:cs="Times New Roman"/>
          <w:sz w:val="22"/>
          <w:szCs w:val="22"/>
        </w:rPr>
        <w:t xml:space="preserve">. 1981; </w:t>
      </w:r>
      <w:r w:rsidR="000B72C9" w:rsidRPr="000B72C9">
        <w:rPr>
          <w:sz w:val="22"/>
          <w:szCs w:val="22"/>
          <w:lang w:val="en-US"/>
        </w:rPr>
        <w:t xml:space="preserve">Thébaud 2014; </w:t>
      </w:r>
      <w:r w:rsidRPr="000B72C9">
        <w:rPr>
          <w:rFonts w:cs="Times New Roman"/>
          <w:sz w:val="22"/>
          <w:szCs w:val="22"/>
        </w:rPr>
        <w:t>Gubin and De Smaele 2015</w:t>
      </w:r>
      <w:r w:rsidR="000B72C9" w:rsidRPr="000B72C9">
        <w:rPr>
          <w:rFonts w:cs="Times New Roman"/>
          <w:sz w:val="22"/>
          <w:szCs w:val="22"/>
        </w:rPr>
        <w:t>;</w:t>
      </w:r>
      <w:r w:rsidR="000B72C9" w:rsidRPr="000B72C9">
        <w:rPr>
          <w:sz w:val="22"/>
          <w:szCs w:val="22"/>
          <w:lang w:val="en-US"/>
        </w:rPr>
        <w:t xml:space="preserve"> Timm and Sandborn 2016: 131</w:t>
      </w:r>
      <w:r w:rsidRPr="000B72C9">
        <w:rPr>
          <w:rFonts w:cs="Times New Roman"/>
          <w:sz w:val="22"/>
          <w:szCs w:val="22"/>
        </w:rPr>
        <w:t xml:space="preserve">). </w:t>
      </w:r>
      <w:r w:rsidR="000B72C9" w:rsidRPr="000B72C9">
        <w:rPr>
          <w:sz w:val="22"/>
          <w:szCs w:val="22"/>
          <w:lang w:val="en-US"/>
        </w:rPr>
        <w:t xml:space="preserve">Historians have made the argument that alongside the misery it invoked, warfare in the early twentieth-century in Europe </w:t>
      </w:r>
      <w:r w:rsidR="000B72C9" w:rsidRPr="000B72C9">
        <w:rPr>
          <w:sz w:val="22"/>
          <w:szCs w:val="22"/>
          <w:lang w:val="en-US"/>
        </w:rPr>
        <w:t xml:space="preserve">functioned </w:t>
      </w:r>
      <w:r w:rsidR="000B72C9" w:rsidRPr="000B72C9">
        <w:rPr>
          <w:sz w:val="22"/>
          <w:szCs w:val="22"/>
          <w:lang w:val="en-US"/>
        </w:rPr>
        <w:t>as a catalyst for female emancipation</w:t>
      </w:r>
      <w:r w:rsidR="000B72C9" w:rsidRPr="000B72C9">
        <w:rPr>
          <w:sz w:val="22"/>
          <w:szCs w:val="22"/>
          <w:lang w:val="en-US"/>
        </w:rPr>
        <w:t xml:space="preserve">. Women </w:t>
      </w:r>
      <w:r w:rsidR="000B72C9" w:rsidRPr="000B72C9">
        <w:rPr>
          <w:sz w:val="22"/>
          <w:szCs w:val="22"/>
          <w:lang w:val="en-US"/>
        </w:rPr>
        <w:t xml:space="preserve">would have gained more autonomy and greater gender equality as war shook up societies in ways that gave women more prominence and crucial roles in the economies of their home countries. Increased gender equality expressed itself in different ways, at different levels, with the suffragettes claiming voting rights for women and the “flappers” </w:t>
      </w:r>
      <w:r w:rsidR="000B72C9" w:rsidRPr="000B72C9">
        <w:rPr>
          <w:sz w:val="22"/>
          <w:szCs w:val="22"/>
          <w:lang w:val="en-US"/>
        </w:rPr>
        <w:t xml:space="preserve">with their boyish hairdos and short skirts </w:t>
      </w:r>
      <w:r w:rsidR="000B72C9" w:rsidRPr="000B72C9">
        <w:rPr>
          <w:sz w:val="22"/>
          <w:szCs w:val="22"/>
          <w:lang w:val="en-US"/>
        </w:rPr>
        <w:t>as the most compelling examples.</w:t>
      </w:r>
      <w:r w:rsidR="000B72C9" w:rsidRPr="000B72C9">
        <w:rPr>
          <w:sz w:val="22"/>
          <w:szCs w:val="22"/>
          <w:lang w:val="en-US"/>
        </w:rPr>
        <w:t xml:space="preserve"> </w:t>
      </w:r>
      <w:r w:rsidR="000B72C9" w:rsidRPr="000B72C9">
        <w:rPr>
          <w:sz w:val="22"/>
          <w:szCs w:val="22"/>
          <w:lang w:val="en-US"/>
        </w:rPr>
        <w:t>In subsequent debates over the extent to which women experienced these liberties, regardless of their social and economic position in society, however, it has been argued that emancipatory gains were very short-lived, and that, in fact, we cannot speak of a liberalization movement of women. On this view, for women across the board, war had but negative consequences (cf. Timm and Sandborn 2016: 132).</w:t>
      </w:r>
      <w:r w:rsidR="000B72C9" w:rsidRPr="000B72C9">
        <w:rPr>
          <w:sz w:val="22"/>
          <w:szCs w:val="22"/>
          <w:lang w:val="en-US"/>
        </w:rPr>
        <w:t xml:space="preserve"> </w:t>
      </w:r>
      <w:r w:rsidR="000B72C9">
        <w:rPr>
          <w:sz w:val="22"/>
          <w:szCs w:val="22"/>
          <w:lang w:val="en-US"/>
        </w:rPr>
        <w:t xml:space="preserve"> </w:t>
      </w:r>
    </w:p>
    <w:p w14:paraId="271A22C6" w14:textId="77777777" w:rsidR="000B72C9" w:rsidRPr="000B72C9" w:rsidRDefault="000B72C9" w:rsidP="000B72C9">
      <w:pPr>
        <w:jc w:val="both"/>
        <w:rPr>
          <w:sz w:val="22"/>
          <w:szCs w:val="22"/>
          <w:lang w:val="en-US"/>
        </w:rPr>
      </w:pPr>
    </w:p>
    <w:p w14:paraId="4AFBC1E9" w14:textId="7E83F34F" w:rsidR="003A5E29" w:rsidRPr="000B72C9" w:rsidRDefault="000B72C9" w:rsidP="003A5E29">
      <w:pPr>
        <w:jc w:val="both"/>
        <w:rPr>
          <w:rFonts w:cs="Times New Roman"/>
          <w:sz w:val="22"/>
          <w:szCs w:val="22"/>
        </w:rPr>
      </w:pPr>
      <w:r>
        <w:rPr>
          <w:sz w:val="22"/>
          <w:szCs w:val="22"/>
          <w:lang w:val="en-US"/>
        </w:rPr>
        <w:t xml:space="preserve">The question whether or not </w:t>
      </w:r>
      <w:r w:rsidR="003A5E29" w:rsidRPr="000B72C9">
        <w:rPr>
          <w:rFonts w:cs="Times New Roman"/>
          <w:sz w:val="22"/>
          <w:szCs w:val="22"/>
        </w:rPr>
        <w:t xml:space="preserve">WWI </w:t>
      </w:r>
      <w:r>
        <w:rPr>
          <w:rFonts w:cs="Times New Roman"/>
          <w:sz w:val="22"/>
          <w:szCs w:val="22"/>
        </w:rPr>
        <w:t xml:space="preserve">can </w:t>
      </w:r>
      <w:r w:rsidR="003A5E29" w:rsidRPr="000B72C9">
        <w:rPr>
          <w:rFonts w:cs="Times New Roman"/>
          <w:sz w:val="22"/>
          <w:szCs w:val="22"/>
        </w:rPr>
        <w:t>really be thought of as a breaking or turning point in history that had a lasting impact on gender relations</w:t>
      </w:r>
      <w:r>
        <w:rPr>
          <w:rFonts w:cs="Times New Roman"/>
          <w:sz w:val="22"/>
          <w:szCs w:val="22"/>
        </w:rPr>
        <w:t xml:space="preserve"> thus remains unresolved. It also remains opaque whether </w:t>
      </w:r>
      <w:r w:rsidR="003A5E29" w:rsidRPr="000B72C9">
        <w:rPr>
          <w:rFonts w:cs="Times New Roman"/>
          <w:sz w:val="22"/>
          <w:szCs w:val="22"/>
        </w:rPr>
        <w:t xml:space="preserve">change </w:t>
      </w:r>
      <w:r>
        <w:rPr>
          <w:rFonts w:cs="Times New Roman"/>
          <w:sz w:val="22"/>
          <w:szCs w:val="22"/>
        </w:rPr>
        <w:t xml:space="preserve">was </w:t>
      </w:r>
      <w:r w:rsidR="003A5E29" w:rsidRPr="000B72C9">
        <w:rPr>
          <w:rFonts w:cs="Times New Roman"/>
          <w:sz w:val="22"/>
          <w:szCs w:val="22"/>
        </w:rPr>
        <w:t>adopted by a broad range of men and women, or rather only by groups with a specific war history, or with certain socio-economic characteristics</w:t>
      </w:r>
      <w:r>
        <w:rPr>
          <w:rFonts w:cs="Times New Roman"/>
          <w:sz w:val="22"/>
          <w:szCs w:val="22"/>
        </w:rPr>
        <w:t xml:space="preserve">. </w:t>
      </w:r>
      <w:r w:rsidR="003A5E29" w:rsidRPr="000B72C9">
        <w:rPr>
          <w:rFonts w:cs="Times New Roman"/>
          <w:sz w:val="22"/>
          <w:szCs w:val="22"/>
        </w:rPr>
        <w:t xml:space="preserve"> </w:t>
      </w:r>
    </w:p>
    <w:p w14:paraId="374AE83A" w14:textId="77777777" w:rsidR="003A5E29" w:rsidRPr="006E3F3E" w:rsidRDefault="003A5E29" w:rsidP="003A5E29">
      <w:pPr>
        <w:jc w:val="both"/>
        <w:rPr>
          <w:rFonts w:cs="Times New Roman"/>
          <w:sz w:val="22"/>
          <w:szCs w:val="22"/>
        </w:rPr>
      </w:pPr>
    </w:p>
    <w:p w14:paraId="4FBBD814" w14:textId="66BE1624" w:rsidR="003A5E29" w:rsidRPr="006E3F3E" w:rsidRDefault="003A5E29" w:rsidP="003A5E29">
      <w:pPr>
        <w:jc w:val="both"/>
        <w:rPr>
          <w:rFonts w:cs="Times New Roman"/>
          <w:sz w:val="22"/>
          <w:szCs w:val="22"/>
        </w:rPr>
      </w:pPr>
      <w:r w:rsidRPr="006E3F3E">
        <w:rPr>
          <w:rFonts w:cs="Times New Roman"/>
          <w:sz w:val="22"/>
          <w:szCs w:val="22"/>
        </w:rPr>
        <w:t xml:space="preserve">As demography is concerned with marital and family relationships, and demographic data tend to cover broad groups in society, historical demography is well-placed to shed light on these questions. </w:t>
      </w:r>
      <w:r w:rsidR="000B72C9" w:rsidRPr="000B72C9">
        <w:rPr>
          <w:sz w:val="22"/>
          <w:szCs w:val="22"/>
          <w:lang w:val="en-US"/>
        </w:rPr>
        <w:t xml:space="preserve">Since patterns </w:t>
      </w:r>
      <w:r w:rsidR="000B72C9">
        <w:rPr>
          <w:sz w:val="22"/>
          <w:szCs w:val="22"/>
          <w:lang w:val="en-US"/>
        </w:rPr>
        <w:t xml:space="preserve">of marriage and divorce </w:t>
      </w:r>
      <w:r w:rsidR="000B72C9" w:rsidRPr="000B72C9">
        <w:rPr>
          <w:sz w:val="22"/>
          <w:szCs w:val="22"/>
          <w:lang w:val="en-US"/>
        </w:rPr>
        <w:t xml:space="preserve">are intricately linked with couple dynamics and gender relations at the micro-level, evidence on marriage dynamics </w:t>
      </w:r>
      <w:r w:rsidR="000B72C9">
        <w:rPr>
          <w:sz w:val="22"/>
          <w:szCs w:val="22"/>
          <w:lang w:val="en-US"/>
        </w:rPr>
        <w:t xml:space="preserve">in particular </w:t>
      </w:r>
      <w:r w:rsidR="000B72C9" w:rsidRPr="000B72C9">
        <w:rPr>
          <w:sz w:val="22"/>
          <w:szCs w:val="22"/>
          <w:lang w:val="en-US"/>
        </w:rPr>
        <w:t xml:space="preserve">provides excellent material for a bottom up perspective on the question how war impacted on gender relations. Demographic perspectives, however, have been conspicuously absent in this historical debate. </w:t>
      </w:r>
      <w:r w:rsidR="000B72C9">
        <w:rPr>
          <w:rFonts w:cs="Times New Roman"/>
          <w:sz w:val="22"/>
          <w:szCs w:val="22"/>
        </w:rPr>
        <w:t>T</w:t>
      </w:r>
      <w:r w:rsidRPr="006E3F3E">
        <w:rPr>
          <w:rFonts w:cs="Times New Roman"/>
          <w:sz w:val="22"/>
          <w:szCs w:val="22"/>
        </w:rPr>
        <w:t>hus far</w:t>
      </w:r>
      <w:r w:rsidR="00B83469" w:rsidRPr="006E3F3E">
        <w:rPr>
          <w:rFonts w:cs="Times New Roman"/>
          <w:sz w:val="22"/>
          <w:szCs w:val="22"/>
        </w:rPr>
        <w:t>,</w:t>
      </w:r>
      <w:r w:rsidRPr="006E3F3E">
        <w:rPr>
          <w:rFonts w:cs="Times New Roman"/>
          <w:sz w:val="22"/>
          <w:szCs w:val="22"/>
        </w:rPr>
        <w:t xml:space="preserve"> most historians</w:t>
      </w:r>
      <w:r w:rsidR="00B83469" w:rsidRPr="006E3F3E">
        <w:rPr>
          <w:rFonts w:cs="Times New Roman"/>
          <w:sz w:val="22"/>
          <w:szCs w:val="22"/>
        </w:rPr>
        <w:t>, sociologists</w:t>
      </w:r>
      <w:r w:rsidR="006E3F3E" w:rsidRPr="006E3F3E">
        <w:rPr>
          <w:rFonts w:cs="Times New Roman"/>
          <w:sz w:val="22"/>
          <w:szCs w:val="22"/>
        </w:rPr>
        <w:t>,</w:t>
      </w:r>
      <w:r w:rsidRPr="006E3F3E">
        <w:rPr>
          <w:rFonts w:cs="Times New Roman"/>
          <w:sz w:val="22"/>
          <w:szCs w:val="22"/>
        </w:rPr>
        <w:t xml:space="preserve"> and demographers have shied away from studying the first half of the </w:t>
      </w:r>
      <w:r w:rsidR="006E3F3E">
        <w:rPr>
          <w:rFonts w:cs="Times New Roman"/>
          <w:sz w:val="22"/>
          <w:szCs w:val="22"/>
        </w:rPr>
        <w:t>twentieth</w:t>
      </w:r>
      <w:r w:rsidRPr="006E3F3E">
        <w:rPr>
          <w:rFonts w:cs="Times New Roman"/>
          <w:sz w:val="22"/>
          <w:szCs w:val="22"/>
        </w:rPr>
        <w:t xml:space="preserve"> century. While, for some countries, we </w:t>
      </w:r>
      <w:r w:rsidR="0051177A" w:rsidRPr="006E3F3E">
        <w:rPr>
          <w:rFonts w:cs="Times New Roman"/>
          <w:sz w:val="22"/>
          <w:szCs w:val="22"/>
        </w:rPr>
        <w:t xml:space="preserve">have empirical information about </w:t>
      </w:r>
      <w:r w:rsidRPr="006E3F3E">
        <w:rPr>
          <w:rFonts w:cs="Times New Roman"/>
          <w:sz w:val="22"/>
          <w:szCs w:val="22"/>
        </w:rPr>
        <w:t xml:space="preserve">the general patterns (cf. Henry, 1966; Festy, 1984; </w:t>
      </w:r>
      <w:r w:rsidR="00907E1A" w:rsidRPr="006E3F3E">
        <w:rPr>
          <w:rFonts w:cs="Times New Roman"/>
          <w:sz w:val="22"/>
          <w:szCs w:val="22"/>
        </w:rPr>
        <w:t xml:space="preserve">Winter, 1992; </w:t>
      </w:r>
      <w:r w:rsidR="0058356C" w:rsidRPr="006E3F3E">
        <w:rPr>
          <w:rFonts w:cs="Times New Roman"/>
          <w:sz w:val="22"/>
          <w:szCs w:val="22"/>
        </w:rPr>
        <w:t xml:space="preserve">Eggerickx, 2014; </w:t>
      </w:r>
      <w:r w:rsidRPr="006E3F3E">
        <w:rPr>
          <w:rFonts w:cs="Times New Roman"/>
          <w:sz w:val="22"/>
          <w:szCs w:val="22"/>
        </w:rPr>
        <w:t xml:space="preserve">Brée </w:t>
      </w:r>
      <w:r w:rsidRPr="006E3F3E">
        <w:rPr>
          <w:rFonts w:cs="Times New Roman"/>
          <w:i/>
          <w:sz w:val="22"/>
          <w:szCs w:val="22"/>
        </w:rPr>
        <w:t>et al</w:t>
      </w:r>
      <w:r w:rsidRPr="006E3F3E">
        <w:rPr>
          <w:rFonts w:cs="Times New Roman"/>
          <w:sz w:val="22"/>
          <w:szCs w:val="22"/>
        </w:rPr>
        <w:t xml:space="preserve">., 2016a, 2016b), even the most basic trends are surprisingly understudied for many others (cf. Kok and Van Bavel 2010). Currently, the increased (and still increasing) availability of data for this period provides unique opportunities to look into patterns of family formation and dissolution, and ask what these might tell us about the dynamics of gender relations before, during, and after the Great War. </w:t>
      </w:r>
    </w:p>
    <w:p w14:paraId="745D5D64" w14:textId="77777777" w:rsidR="003A5E29" w:rsidRPr="006E3F3E" w:rsidRDefault="003A5E29" w:rsidP="003A5E29">
      <w:pPr>
        <w:jc w:val="both"/>
        <w:rPr>
          <w:rFonts w:cs="Times New Roman"/>
          <w:sz w:val="22"/>
          <w:szCs w:val="22"/>
        </w:rPr>
      </w:pPr>
    </w:p>
    <w:p w14:paraId="3CD4B546" w14:textId="17E02FC7" w:rsidR="003A5E29" w:rsidRPr="006E3F3E" w:rsidRDefault="003A5E29" w:rsidP="003A5E29">
      <w:pPr>
        <w:jc w:val="both"/>
        <w:rPr>
          <w:rFonts w:cs="Times New Roman"/>
          <w:sz w:val="22"/>
          <w:szCs w:val="22"/>
        </w:rPr>
      </w:pPr>
      <w:r w:rsidRPr="006E3F3E">
        <w:rPr>
          <w:rFonts w:cs="Times New Roman"/>
          <w:sz w:val="22"/>
          <w:szCs w:val="22"/>
        </w:rPr>
        <w:t>In this volume, we would like to start with a chapter that take</w:t>
      </w:r>
      <w:r w:rsidR="00B83469" w:rsidRPr="006E3F3E">
        <w:rPr>
          <w:rFonts w:cs="Times New Roman"/>
          <w:sz w:val="22"/>
          <w:szCs w:val="22"/>
        </w:rPr>
        <w:t>s</w:t>
      </w:r>
      <w:r w:rsidRPr="006E3F3E">
        <w:rPr>
          <w:rFonts w:cs="Times New Roman"/>
          <w:sz w:val="22"/>
          <w:szCs w:val="22"/>
        </w:rPr>
        <w:t xml:space="preserve"> a broad perspective in discussing gender relations as well </w:t>
      </w:r>
      <w:r w:rsidR="006E3F3E">
        <w:rPr>
          <w:rFonts w:cs="Times New Roman"/>
          <w:sz w:val="22"/>
          <w:szCs w:val="22"/>
        </w:rPr>
        <w:t xml:space="preserve">as </w:t>
      </w:r>
      <w:r w:rsidRPr="006E3F3E">
        <w:rPr>
          <w:rFonts w:cs="Times New Roman"/>
          <w:sz w:val="22"/>
          <w:szCs w:val="22"/>
        </w:rPr>
        <w:t>couple and household dynamics in Europe in the period before, during</w:t>
      </w:r>
      <w:r w:rsidR="006E3F3E">
        <w:rPr>
          <w:rFonts w:cs="Times New Roman"/>
          <w:sz w:val="22"/>
          <w:szCs w:val="22"/>
        </w:rPr>
        <w:t>,</w:t>
      </w:r>
      <w:r w:rsidRPr="006E3F3E">
        <w:rPr>
          <w:rFonts w:cs="Times New Roman"/>
          <w:sz w:val="22"/>
          <w:szCs w:val="22"/>
        </w:rPr>
        <w:t xml:space="preserve"> and after WWI (1900-1930). This chapter sh</w:t>
      </w:r>
      <w:r w:rsidR="006E3F3E">
        <w:rPr>
          <w:rFonts w:cs="Times New Roman"/>
          <w:sz w:val="22"/>
          <w:szCs w:val="22"/>
        </w:rPr>
        <w:t>all</w:t>
      </w:r>
      <w:r w:rsidRPr="006E3F3E">
        <w:rPr>
          <w:rFonts w:cs="Times New Roman"/>
          <w:sz w:val="22"/>
          <w:szCs w:val="22"/>
        </w:rPr>
        <w:t xml:space="preserve"> discuss gender relations in the light of (changing) social, economic, institutional, and legal contexts</w:t>
      </w:r>
      <w:r w:rsidR="0051177A" w:rsidRPr="006E3F3E">
        <w:rPr>
          <w:rFonts w:cs="Times New Roman"/>
          <w:sz w:val="22"/>
          <w:szCs w:val="22"/>
        </w:rPr>
        <w:t xml:space="preserve"> and highlight the potential impact of WWI</w:t>
      </w:r>
      <w:r w:rsidRPr="006E3F3E">
        <w:rPr>
          <w:rFonts w:cs="Times New Roman"/>
          <w:sz w:val="22"/>
          <w:szCs w:val="22"/>
        </w:rPr>
        <w:t>.</w:t>
      </w:r>
    </w:p>
    <w:p w14:paraId="473B004B" w14:textId="77777777" w:rsidR="003A5E29" w:rsidRPr="006E3F3E" w:rsidRDefault="003A5E29" w:rsidP="003A5E29">
      <w:pPr>
        <w:jc w:val="both"/>
        <w:rPr>
          <w:rFonts w:cs="Times New Roman"/>
          <w:sz w:val="22"/>
          <w:szCs w:val="22"/>
        </w:rPr>
      </w:pPr>
    </w:p>
    <w:p w14:paraId="3D870A1F" w14:textId="6AD038C6" w:rsidR="003A5E29" w:rsidRPr="006E3F3E" w:rsidRDefault="003A5E29" w:rsidP="003A5E29">
      <w:pPr>
        <w:jc w:val="both"/>
        <w:rPr>
          <w:rFonts w:cs="Times New Roman"/>
          <w:sz w:val="22"/>
          <w:szCs w:val="22"/>
        </w:rPr>
      </w:pPr>
      <w:r w:rsidRPr="006E3F3E">
        <w:rPr>
          <w:rFonts w:cs="Times New Roman"/>
          <w:sz w:val="22"/>
          <w:szCs w:val="22"/>
        </w:rPr>
        <w:t>Subsequently, we would like to compare European countries with different war trajectories regard</w:t>
      </w:r>
      <w:r w:rsidR="00B83469" w:rsidRPr="006E3F3E">
        <w:rPr>
          <w:rFonts w:cs="Times New Roman"/>
          <w:sz w:val="22"/>
          <w:szCs w:val="22"/>
        </w:rPr>
        <w:t>ing</w:t>
      </w:r>
      <w:r w:rsidRPr="006E3F3E">
        <w:rPr>
          <w:rFonts w:cs="Times New Roman"/>
          <w:sz w:val="22"/>
          <w:szCs w:val="22"/>
        </w:rPr>
        <w:t xml:space="preserve"> practices of and changes in the prevalence of marriage, in marriage ages, in the socioeconomic similarities and differences between marriage partners, and in practices of divorce and separation. How did these evolve </w:t>
      </w:r>
      <w:r w:rsidR="006E3F3E">
        <w:rPr>
          <w:rFonts w:cs="Times New Roman"/>
          <w:sz w:val="22"/>
          <w:szCs w:val="22"/>
        </w:rPr>
        <w:t>during</w:t>
      </w:r>
      <w:r w:rsidRPr="006E3F3E">
        <w:rPr>
          <w:rFonts w:cs="Times New Roman"/>
          <w:sz w:val="22"/>
          <w:szCs w:val="22"/>
        </w:rPr>
        <w:t xml:space="preserve"> the early </w:t>
      </w:r>
      <w:r w:rsidR="006E3F3E">
        <w:rPr>
          <w:rFonts w:cs="Times New Roman"/>
          <w:sz w:val="22"/>
          <w:szCs w:val="22"/>
        </w:rPr>
        <w:t xml:space="preserve">twentieth </w:t>
      </w:r>
      <w:r w:rsidRPr="006E3F3E">
        <w:rPr>
          <w:rFonts w:cs="Times New Roman"/>
          <w:sz w:val="22"/>
          <w:szCs w:val="22"/>
        </w:rPr>
        <w:t>century? And what role did</w:t>
      </w:r>
      <w:r w:rsidR="006E3F3E">
        <w:rPr>
          <w:rFonts w:cs="Times New Roman"/>
          <w:sz w:val="22"/>
          <w:szCs w:val="22"/>
        </w:rPr>
        <w:t>, or did not,</w:t>
      </w:r>
      <w:r w:rsidRPr="006E3F3E">
        <w:rPr>
          <w:rFonts w:cs="Times New Roman"/>
          <w:sz w:val="22"/>
          <w:szCs w:val="22"/>
        </w:rPr>
        <w:t xml:space="preserve"> WWI </w:t>
      </w:r>
      <w:r w:rsidR="006E3F3E">
        <w:rPr>
          <w:rFonts w:cs="Times New Roman"/>
          <w:sz w:val="22"/>
          <w:szCs w:val="22"/>
        </w:rPr>
        <w:t xml:space="preserve">play </w:t>
      </w:r>
      <w:r w:rsidRPr="006E3F3E">
        <w:rPr>
          <w:rFonts w:cs="Times New Roman"/>
          <w:sz w:val="22"/>
          <w:szCs w:val="22"/>
        </w:rPr>
        <w:t xml:space="preserve">in </w:t>
      </w:r>
      <w:r w:rsidR="006E3F3E">
        <w:rPr>
          <w:rFonts w:cs="Times New Roman"/>
          <w:sz w:val="22"/>
          <w:szCs w:val="22"/>
        </w:rPr>
        <w:t xml:space="preserve">these </w:t>
      </w:r>
      <w:r w:rsidRPr="006E3F3E">
        <w:rPr>
          <w:rFonts w:cs="Times New Roman"/>
          <w:sz w:val="22"/>
          <w:szCs w:val="22"/>
        </w:rPr>
        <w:t xml:space="preserve">evolutions? </w:t>
      </w:r>
      <w:r w:rsidR="00B83469" w:rsidRPr="006E3F3E">
        <w:rPr>
          <w:rFonts w:cs="Times New Roman"/>
          <w:sz w:val="22"/>
          <w:szCs w:val="22"/>
        </w:rPr>
        <w:t xml:space="preserve">Are there </w:t>
      </w:r>
      <w:r w:rsidRPr="006E3F3E">
        <w:rPr>
          <w:rFonts w:cs="Times New Roman"/>
          <w:sz w:val="22"/>
          <w:szCs w:val="22"/>
        </w:rPr>
        <w:t xml:space="preserve">differences according to heterogeneous war experiences of countries or regions? </w:t>
      </w:r>
      <w:r w:rsidR="00B83469" w:rsidRPr="006E3F3E">
        <w:rPr>
          <w:rFonts w:cs="Times New Roman"/>
          <w:sz w:val="22"/>
          <w:szCs w:val="22"/>
        </w:rPr>
        <w:t xml:space="preserve">Is there </w:t>
      </w:r>
      <w:r w:rsidRPr="006E3F3E">
        <w:rPr>
          <w:rFonts w:cs="Times New Roman"/>
          <w:sz w:val="22"/>
          <w:szCs w:val="22"/>
        </w:rPr>
        <w:t xml:space="preserve">evidence of female empowerment in marriage patterns, in the ages at which women married and </w:t>
      </w:r>
      <w:r w:rsidR="006E3F3E">
        <w:rPr>
          <w:rFonts w:cs="Times New Roman"/>
          <w:sz w:val="22"/>
          <w:szCs w:val="22"/>
        </w:rPr>
        <w:t xml:space="preserve">in the </w:t>
      </w:r>
      <w:r w:rsidRPr="006E3F3E">
        <w:rPr>
          <w:rFonts w:cs="Times New Roman"/>
          <w:sz w:val="22"/>
          <w:szCs w:val="22"/>
        </w:rPr>
        <w:t xml:space="preserve">types of partners they chose, and in patterns of divorce? </w:t>
      </w:r>
      <w:r w:rsidR="00C71DB9" w:rsidRPr="006E3F3E">
        <w:rPr>
          <w:rFonts w:cs="Times New Roman"/>
          <w:sz w:val="22"/>
          <w:szCs w:val="22"/>
        </w:rPr>
        <w:t xml:space="preserve">And how did the development of male marriage patterns relate to that of women? </w:t>
      </w:r>
      <w:r w:rsidRPr="006E3F3E">
        <w:rPr>
          <w:rFonts w:cs="Times New Roman"/>
          <w:sz w:val="22"/>
          <w:szCs w:val="22"/>
        </w:rPr>
        <w:t xml:space="preserve">We invite both more quantitatively and more qualitatively oriented papers </w:t>
      </w:r>
      <w:r w:rsidR="006E3F3E">
        <w:rPr>
          <w:rFonts w:cs="Times New Roman"/>
          <w:sz w:val="22"/>
          <w:szCs w:val="22"/>
        </w:rPr>
        <w:t xml:space="preserve">– the latter </w:t>
      </w:r>
      <w:r w:rsidRPr="006E3F3E">
        <w:rPr>
          <w:rFonts w:cs="Times New Roman"/>
          <w:sz w:val="22"/>
          <w:szCs w:val="22"/>
        </w:rPr>
        <w:t>draw</w:t>
      </w:r>
      <w:r w:rsidR="006E3F3E">
        <w:rPr>
          <w:rFonts w:cs="Times New Roman"/>
          <w:sz w:val="22"/>
          <w:szCs w:val="22"/>
        </w:rPr>
        <w:t>ing</w:t>
      </w:r>
      <w:r w:rsidRPr="006E3F3E">
        <w:rPr>
          <w:rFonts w:cs="Times New Roman"/>
          <w:sz w:val="22"/>
          <w:szCs w:val="22"/>
        </w:rPr>
        <w:t>, e.g., on diaries, (love)letters,</w:t>
      </w:r>
      <w:r w:rsidR="00246510" w:rsidRPr="006E3F3E">
        <w:rPr>
          <w:rFonts w:cs="Times New Roman"/>
          <w:sz w:val="22"/>
          <w:szCs w:val="22"/>
        </w:rPr>
        <w:t xml:space="preserve"> birth announcement cards, obituary notices, </w:t>
      </w:r>
      <w:r w:rsidRPr="006E3F3E">
        <w:rPr>
          <w:rFonts w:cs="Times New Roman"/>
          <w:sz w:val="22"/>
          <w:szCs w:val="22"/>
        </w:rPr>
        <w:t xml:space="preserve">and other private or household accounts. </w:t>
      </w:r>
    </w:p>
    <w:p w14:paraId="009C2F0B" w14:textId="77777777" w:rsidR="003A5E29" w:rsidRPr="006E3F3E" w:rsidRDefault="003A5E29" w:rsidP="003A5E29">
      <w:pPr>
        <w:jc w:val="both"/>
        <w:rPr>
          <w:rFonts w:cs="Times New Roman"/>
          <w:sz w:val="22"/>
          <w:szCs w:val="22"/>
        </w:rPr>
      </w:pPr>
    </w:p>
    <w:p w14:paraId="02C55C11" w14:textId="72B9E711" w:rsidR="003A5E29" w:rsidRPr="006E3F3E" w:rsidRDefault="003A5E29" w:rsidP="003A5E29">
      <w:pPr>
        <w:jc w:val="both"/>
        <w:rPr>
          <w:rFonts w:cs="Times New Roman"/>
          <w:sz w:val="22"/>
          <w:szCs w:val="22"/>
        </w:rPr>
      </w:pPr>
      <w:r w:rsidRPr="006E3F3E">
        <w:rPr>
          <w:rFonts w:cs="Times New Roman"/>
          <w:sz w:val="22"/>
          <w:szCs w:val="22"/>
        </w:rPr>
        <w:t xml:space="preserve">We invite authors to look into four aspects of marriage and divorce that could shed light on these questions. In doing so, we encourage authors of quantitative chapters to link their work to the overall theme of gender relations, and to integrate qualitative material in their discussions of quantitative findings on marriage, divorce </w:t>
      </w:r>
      <w:r w:rsidR="00B83469" w:rsidRPr="006E3F3E">
        <w:rPr>
          <w:rFonts w:cs="Times New Roman"/>
          <w:sz w:val="22"/>
          <w:szCs w:val="22"/>
        </w:rPr>
        <w:t xml:space="preserve">(and separation), </w:t>
      </w:r>
      <w:r w:rsidRPr="006E3F3E">
        <w:rPr>
          <w:rFonts w:cs="Times New Roman"/>
          <w:sz w:val="22"/>
          <w:szCs w:val="22"/>
        </w:rPr>
        <w:t>and remarriage.</w:t>
      </w:r>
    </w:p>
    <w:p w14:paraId="6869ABF3" w14:textId="77777777" w:rsidR="003A5E29" w:rsidRPr="006E3F3E" w:rsidRDefault="003A5E29" w:rsidP="003A5E29">
      <w:pPr>
        <w:jc w:val="both"/>
        <w:rPr>
          <w:rFonts w:cs="Times New Roman"/>
          <w:sz w:val="22"/>
          <w:szCs w:val="22"/>
        </w:rPr>
      </w:pPr>
    </w:p>
    <w:p w14:paraId="38F68253" w14:textId="7FCA409B" w:rsidR="003A5E29" w:rsidRPr="006E3F3E" w:rsidRDefault="003A5E29" w:rsidP="003A5E29">
      <w:pPr>
        <w:jc w:val="both"/>
        <w:rPr>
          <w:rFonts w:cs="Times New Roman"/>
          <w:sz w:val="22"/>
          <w:szCs w:val="22"/>
        </w:rPr>
      </w:pPr>
      <w:r w:rsidRPr="006E3F3E">
        <w:rPr>
          <w:rFonts w:cs="Times New Roman"/>
          <w:sz w:val="22"/>
          <w:szCs w:val="22"/>
        </w:rPr>
        <w:t xml:space="preserve">First, we are interested in papers looking into the question whether the pattern of decreasing first marriage ages, which has been seen as an expression of increasing familiarization and separation of gender spheres, </w:t>
      </w:r>
      <w:r w:rsidR="006E3F3E">
        <w:rPr>
          <w:rFonts w:cs="Times New Roman"/>
          <w:sz w:val="22"/>
          <w:szCs w:val="22"/>
        </w:rPr>
        <w:t>persist</w:t>
      </w:r>
      <w:r w:rsidRPr="006E3F3E">
        <w:rPr>
          <w:rFonts w:cs="Times New Roman"/>
          <w:sz w:val="22"/>
          <w:szCs w:val="22"/>
        </w:rPr>
        <w:t>s</w:t>
      </w:r>
      <w:r w:rsidRPr="006E3F3E">
        <w:rPr>
          <w:rStyle w:val="Voetnootmarkering"/>
          <w:rFonts w:cs="Times New Roman"/>
          <w:sz w:val="22"/>
          <w:szCs w:val="22"/>
        </w:rPr>
        <w:t xml:space="preserve"> </w:t>
      </w:r>
      <w:r w:rsidRPr="006E3F3E">
        <w:rPr>
          <w:rFonts w:cs="Times New Roman"/>
          <w:sz w:val="22"/>
          <w:szCs w:val="22"/>
        </w:rPr>
        <w:t xml:space="preserve">(Matthijs 2002). Did this </w:t>
      </w:r>
      <w:r w:rsidR="006E3F3E">
        <w:rPr>
          <w:rFonts w:cs="Times New Roman"/>
          <w:sz w:val="22"/>
          <w:szCs w:val="22"/>
        </w:rPr>
        <w:t>nineteenth</w:t>
      </w:r>
      <w:r w:rsidRPr="006E3F3E">
        <w:rPr>
          <w:rFonts w:cs="Times New Roman"/>
          <w:sz w:val="22"/>
          <w:szCs w:val="22"/>
        </w:rPr>
        <w:t xml:space="preserve">-century trend that had emphasized the role of women as wives, mothers and caretakers continue, or did the war form a breaking point, with ages at first marriage increasing again? With large samples, the evolution of standard deviations, furthermore, is informative as to how strict cultural norms </w:t>
      </w:r>
      <w:r w:rsidR="00A669D7" w:rsidRPr="006E3F3E">
        <w:rPr>
          <w:rFonts w:cs="Times New Roman"/>
          <w:sz w:val="22"/>
          <w:szCs w:val="22"/>
        </w:rPr>
        <w:t xml:space="preserve">regarding age at </w:t>
      </w:r>
      <w:r w:rsidR="00157CAB">
        <w:rPr>
          <w:rFonts w:cs="Times New Roman"/>
          <w:sz w:val="22"/>
          <w:szCs w:val="22"/>
        </w:rPr>
        <w:t xml:space="preserve">first </w:t>
      </w:r>
      <w:r w:rsidR="00A669D7" w:rsidRPr="006E3F3E">
        <w:rPr>
          <w:rFonts w:cs="Times New Roman"/>
          <w:sz w:val="22"/>
          <w:szCs w:val="22"/>
        </w:rPr>
        <w:t xml:space="preserve">marriage </w:t>
      </w:r>
      <w:r w:rsidRPr="006E3F3E">
        <w:rPr>
          <w:rFonts w:cs="Times New Roman"/>
          <w:sz w:val="22"/>
          <w:szCs w:val="22"/>
        </w:rPr>
        <w:t xml:space="preserve">remained. That is, the greater the variation in ages at first marriage, the less strict marriage norms are.  </w:t>
      </w:r>
    </w:p>
    <w:p w14:paraId="63F26ABD" w14:textId="77777777" w:rsidR="003A5E29" w:rsidRPr="006E3F3E" w:rsidRDefault="003A5E29" w:rsidP="003A5E29">
      <w:pPr>
        <w:jc w:val="both"/>
        <w:rPr>
          <w:rFonts w:cs="Times New Roman"/>
          <w:sz w:val="22"/>
          <w:szCs w:val="22"/>
        </w:rPr>
      </w:pPr>
    </w:p>
    <w:p w14:paraId="65F5C487" w14:textId="3A7BD31B" w:rsidR="003A5E29" w:rsidRPr="006E3F3E" w:rsidRDefault="003A5E29" w:rsidP="003A5E29">
      <w:pPr>
        <w:jc w:val="both"/>
        <w:rPr>
          <w:rFonts w:cs="Times New Roman"/>
          <w:sz w:val="22"/>
          <w:szCs w:val="22"/>
        </w:rPr>
      </w:pPr>
      <w:r w:rsidRPr="006E3F3E">
        <w:rPr>
          <w:rFonts w:cs="Times New Roman"/>
          <w:sz w:val="22"/>
          <w:szCs w:val="22"/>
        </w:rPr>
        <w:t xml:space="preserve">Second, age differences between marriage partners are informative about power dynamics between couples. Women marrying a partner much older than themselves had lower bargaining power than their counterparts who were married to a man of more or less the same </w:t>
      </w:r>
      <w:r w:rsidR="00246510" w:rsidRPr="006E3F3E">
        <w:rPr>
          <w:rFonts w:cs="Times New Roman"/>
          <w:sz w:val="22"/>
          <w:szCs w:val="22"/>
        </w:rPr>
        <w:t xml:space="preserve">or younger </w:t>
      </w:r>
      <w:r w:rsidRPr="006E3F3E">
        <w:rPr>
          <w:rFonts w:cs="Times New Roman"/>
          <w:sz w:val="22"/>
          <w:szCs w:val="22"/>
        </w:rPr>
        <w:t>age</w:t>
      </w:r>
      <w:r w:rsidR="00246510" w:rsidRPr="006E3F3E">
        <w:rPr>
          <w:rFonts w:cs="Times New Roman"/>
          <w:sz w:val="22"/>
          <w:szCs w:val="22"/>
        </w:rPr>
        <w:t xml:space="preserve">. </w:t>
      </w:r>
      <w:r w:rsidRPr="006E3F3E">
        <w:rPr>
          <w:rFonts w:cs="Times New Roman"/>
          <w:sz w:val="22"/>
          <w:szCs w:val="22"/>
        </w:rPr>
        <w:t xml:space="preserve">Regardless of where we ought to place the causes of changes, trends in the age differential between partners for the period 1900-1930 can shed light on gender dynamics within households. A decrease in age gaps between men and women, with marriage ages rising faster for women than for men, could be seen as evidence of female emancipation (cf. Carmichael 2011), or as a phenomenon paving the way for it. In conjunction, we may ask whether trends in ages at marriage and spousal age gaps developed similarly across socio-economic groups, or whether the shape and the pace of change differed between </w:t>
      </w:r>
      <w:r w:rsidR="00246510" w:rsidRPr="006E3F3E">
        <w:rPr>
          <w:rFonts w:cs="Times New Roman"/>
          <w:sz w:val="22"/>
          <w:szCs w:val="22"/>
        </w:rPr>
        <w:t xml:space="preserve">social </w:t>
      </w:r>
      <w:r w:rsidRPr="006E3F3E">
        <w:rPr>
          <w:rFonts w:cs="Times New Roman"/>
          <w:sz w:val="22"/>
          <w:szCs w:val="22"/>
        </w:rPr>
        <w:t>groups</w:t>
      </w:r>
      <w:r w:rsidR="00246510" w:rsidRPr="006E3F3E">
        <w:rPr>
          <w:rFonts w:cs="Times New Roman"/>
          <w:sz w:val="22"/>
          <w:szCs w:val="22"/>
        </w:rPr>
        <w:t>.</w:t>
      </w:r>
      <w:r w:rsidRPr="006E3F3E">
        <w:rPr>
          <w:rFonts w:cs="Times New Roman"/>
          <w:sz w:val="22"/>
          <w:szCs w:val="22"/>
        </w:rPr>
        <w:t xml:space="preserve">   </w:t>
      </w:r>
    </w:p>
    <w:p w14:paraId="20815027" w14:textId="77777777" w:rsidR="003A5E29" w:rsidRPr="006E3F3E" w:rsidRDefault="003A5E29" w:rsidP="003A5E29">
      <w:pPr>
        <w:rPr>
          <w:rFonts w:cs="Times New Roman"/>
          <w:sz w:val="22"/>
          <w:szCs w:val="22"/>
        </w:rPr>
      </w:pPr>
    </w:p>
    <w:p w14:paraId="1BECAB3B" w14:textId="7AF799A0" w:rsidR="003A5E29" w:rsidRPr="006E3F3E" w:rsidRDefault="003A5E29" w:rsidP="003A5E29">
      <w:pPr>
        <w:jc w:val="both"/>
        <w:rPr>
          <w:rFonts w:cs="Times New Roman"/>
          <w:color w:val="F79646" w:themeColor="accent6"/>
          <w:sz w:val="22"/>
          <w:szCs w:val="22"/>
        </w:rPr>
      </w:pPr>
      <w:r w:rsidRPr="006E3F3E">
        <w:rPr>
          <w:rFonts w:cs="Times New Roman"/>
          <w:sz w:val="22"/>
          <w:szCs w:val="22"/>
        </w:rPr>
        <w:t>Third, we invite contributions addressing the question whether the war opened up geographic horizons and created opportunities for lasting, intimate intercultural relations. D</w:t>
      </w:r>
      <w:r w:rsidR="00C71DB9" w:rsidRPr="006E3F3E">
        <w:rPr>
          <w:rFonts w:cs="Times New Roman"/>
          <w:sz w:val="22"/>
          <w:szCs w:val="22"/>
        </w:rPr>
        <w:t xml:space="preserve">o </w:t>
      </w:r>
      <w:r w:rsidRPr="006E3F3E">
        <w:rPr>
          <w:rFonts w:cs="Times New Roman"/>
          <w:sz w:val="22"/>
          <w:szCs w:val="22"/>
        </w:rPr>
        <w:t xml:space="preserve">women </w:t>
      </w:r>
      <w:r w:rsidR="00C71DB9" w:rsidRPr="006E3F3E">
        <w:rPr>
          <w:rFonts w:cs="Times New Roman"/>
          <w:sz w:val="22"/>
          <w:szCs w:val="22"/>
        </w:rPr>
        <w:t xml:space="preserve">and men </w:t>
      </w:r>
      <w:r w:rsidRPr="006E3F3E">
        <w:rPr>
          <w:rFonts w:cs="Times New Roman"/>
          <w:sz w:val="22"/>
          <w:szCs w:val="22"/>
        </w:rPr>
        <w:t>more than before marry partners from abroad? What are the characteristics of intercultural couples, and do these change</w:t>
      </w:r>
      <w:r w:rsidR="00FF328C" w:rsidRPr="006E3F3E">
        <w:rPr>
          <w:rFonts w:cs="Times New Roman"/>
          <w:sz w:val="22"/>
          <w:szCs w:val="22"/>
        </w:rPr>
        <w:t>s</w:t>
      </w:r>
      <w:r w:rsidRPr="006E3F3E">
        <w:rPr>
          <w:rFonts w:cs="Times New Roman"/>
          <w:sz w:val="22"/>
          <w:szCs w:val="22"/>
        </w:rPr>
        <w:t xml:space="preserve"> over time? </w:t>
      </w:r>
      <w:r w:rsidR="00C71DB9" w:rsidRPr="006E3F3E">
        <w:rPr>
          <w:rFonts w:cs="Times New Roman"/>
          <w:sz w:val="22"/>
          <w:szCs w:val="22"/>
        </w:rPr>
        <w:t xml:space="preserve">Does a gendered analysis show differences between men and women, or did the world “open up” in similar ways for men and women? </w:t>
      </w:r>
      <w:r w:rsidRPr="006E3F3E">
        <w:rPr>
          <w:rFonts w:cs="Times New Roman"/>
          <w:sz w:val="22"/>
          <w:szCs w:val="22"/>
        </w:rPr>
        <w:t xml:space="preserve">Furthermore, did the Great War lead to shifting </w:t>
      </w:r>
      <w:r w:rsidRPr="006E3F3E">
        <w:rPr>
          <w:rFonts w:cs="Times New Roman"/>
          <w:sz w:val="22"/>
          <w:szCs w:val="22"/>
        </w:rPr>
        <w:lastRenderedPageBreak/>
        <w:t xml:space="preserve">geographies of marriage within countries, as people adjusted to new orders and changed economic realities?  </w:t>
      </w:r>
    </w:p>
    <w:p w14:paraId="6171BFB6" w14:textId="77777777" w:rsidR="003A5E29" w:rsidRPr="006E3F3E" w:rsidRDefault="003A5E29" w:rsidP="003A5E29">
      <w:pPr>
        <w:rPr>
          <w:rFonts w:cs="Times New Roman"/>
          <w:color w:val="F79646" w:themeColor="accent6"/>
          <w:sz w:val="22"/>
          <w:szCs w:val="22"/>
        </w:rPr>
      </w:pPr>
    </w:p>
    <w:p w14:paraId="6B53175D" w14:textId="0D1D79EA" w:rsidR="00C71DB9" w:rsidRPr="006E3F3E" w:rsidRDefault="00A64E82" w:rsidP="003A5E29">
      <w:pPr>
        <w:jc w:val="both"/>
        <w:rPr>
          <w:rFonts w:cs="Times New Roman"/>
          <w:sz w:val="22"/>
          <w:szCs w:val="22"/>
        </w:rPr>
      </w:pPr>
      <w:r w:rsidRPr="006E3F3E">
        <w:rPr>
          <w:rFonts w:cs="Times New Roman"/>
          <w:sz w:val="22"/>
          <w:szCs w:val="22"/>
        </w:rPr>
        <w:t>Fourth</w:t>
      </w:r>
      <w:r w:rsidR="003A5E29" w:rsidRPr="006E3F3E">
        <w:rPr>
          <w:rFonts w:cs="Times New Roman"/>
          <w:sz w:val="22"/>
          <w:szCs w:val="22"/>
        </w:rPr>
        <w:t>, both divorce</w:t>
      </w:r>
      <w:r w:rsidRPr="006E3F3E">
        <w:rPr>
          <w:rFonts w:cs="Times New Roman"/>
          <w:sz w:val="22"/>
          <w:szCs w:val="22"/>
        </w:rPr>
        <w:t xml:space="preserve"> and </w:t>
      </w:r>
      <w:r w:rsidR="003A5E29" w:rsidRPr="006E3F3E">
        <w:rPr>
          <w:rFonts w:cs="Times New Roman"/>
          <w:sz w:val="22"/>
          <w:szCs w:val="22"/>
        </w:rPr>
        <w:t xml:space="preserve">separation may shed light on the extent to which women in the interbellum were able to live independent lives. First, we may ask how likely it was for women to separate or divorce from their husbands. Were there changes in the frequency with which </w:t>
      </w:r>
      <w:r w:rsidR="00057D56" w:rsidRPr="006E3F3E">
        <w:rPr>
          <w:rFonts w:cs="Times New Roman"/>
          <w:sz w:val="22"/>
          <w:szCs w:val="22"/>
        </w:rPr>
        <w:t xml:space="preserve">separation and </w:t>
      </w:r>
      <w:r w:rsidR="003A5E29" w:rsidRPr="006E3F3E">
        <w:rPr>
          <w:rFonts w:cs="Times New Roman"/>
          <w:sz w:val="22"/>
          <w:szCs w:val="22"/>
        </w:rPr>
        <w:t>divorce occurred, in the characteristics (socio-economic status, age, etc.) of women who</w:t>
      </w:r>
      <w:r w:rsidR="00057D56" w:rsidRPr="006E3F3E">
        <w:rPr>
          <w:rFonts w:cs="Times New Roman"/>
          <w:sz w:val="22"/>
          <w:szCs w:val="22"/>
        </w:rPr>
        <w:t xml:space="preserve"> separated or</w:t>
      </w:r>
      <w:r w:rsidR="003A5E29" w:rsidRPr="006E3F3E">
        <w:rPr>
          <w:rFonts w:cs="Times New Roman"/>
          <w:sz w:val="22"/>
          <w:szCs w:val="22"/>
        </w:rPr>
        <w:t xml:space="preserve"> divorced, and in the share of women that remarried</w:t>
      </w:r>
      <w:r w:rsidR="00057D56" w:rsidRPr="006E3F3E">
        <w:rPr>
          <w:rFonts w:cs="Times New Roman"/>
          <w:sz w:val="22"/>
          <w:szCs w:val="22"/>
        </w:rPr>
        <w:t xml:space="preserve"> after divorce</w:t>
      </w:r>
      <w:r w:rsidR="003A5E29" w:rsidRPr="006E3F3E">
        <w:rPr>
          <w:rFonts w:cs="Times New Roman"/>
          <w:sz w:val="22"/>
          <w:szCs w:val="22"/>
        </w:rPr>
        <w:t xml:space="preserve"> and in the pace at which they did so?</w:t>
      </w:r>
      <w:r w:rsidR="00C71DB9" w:rsidRPr="006E3F3E">
        <w:rPr>
          <w:rFonts w:cs="Times New Roman"/>
          <w:sz w:val="22"/>
          <w:szCs w:val="22"/>
        </w:rPr>
        <w:t xml:space="preserve"> Was change more intense for women than for men, or was it not?</w:t>
      </w:r>
    </w:p>
    <w:p w14:paraId="3B5E90C5" w14:textId="6DB44571" w:rsidR="00A64E82" w:rsidRPr="006E3F3E" w:rsidRDefault="003A5E29" w:rsidP="003A5E29">
      <w:pPr>
        <w:jc w:val="both"/>
        <w:rPr>
          <w:rFonts w:cs="Times New Roman"/>
          <w:sz w:val="22"/>
          <w:szCs w:val="22"/>
        </w:rPr>
      </w:pPr>
      <w:r w:rsidRPr="006E3F3E">
        <w:rPr>
          <w:rFonts w:cs="Times New Roman"/>
          <w:sz w:val="22"/>
          <w:szCs w:val="22"/>
        </w:rPr>
        <w:t xml:space="preserve"> </w:t>
      </w:r>
    </w:p>
    <w:p w14:paraId="63D49BAE" w14:textId="1358B1B7" w:rsidR="003A5E29" w:rsidRPr="006E3F3E" w:rsidRDefault="00A64E82" w:rsidP="003A5E29">
      <w:pPr>
        <w:jc w:val="both"/>
        <w:rPr>
          <w:rFonts w:cs="Times New Roman"/>
          <w:sz w:val="22"/>
          <w:szCs w:val="22"/>
        </w:rPr>
      </w:pPr>
      <w:r w:rsidRPr="006E3F3E">
        <w:rPr>
          <w:rFonts w:cs="Times New Roman"/>
          <w:sz w:val="22"/>
          <w:szCs w:val="22"/>
        </w:rPr>
        <w:t>Finally</w:t>
      </w:r>
      <w:r w:rsidR="003A5E29" w:rsidRPr="006E3F3E">
        <w:rPr>
          <w:rFonts w:cs="Times New Roman"/>
          <w:sz w:val="22"/>
          <w:szCs w:val="22"/>
        </w:rPr>
        <w:t>, levels and paces of remarriage after widowhood provide another way to approach the question whether WWI fostered greater independency among women.</w:t>
      </w:r>
      <w:r w:rsidR="003A5E29" w:rsidRPr="006E3F3E">
        <w:rPr>
          <w:rFonts w:cs="Times New Roman"/>
          <w:color w:val="F79646" w:themeColor="accent6"/>
          <w:sz w:val="22"/>
          <w:szCs w:val="22"/>
        </w:rPr>
        <w:t xml:space="preserve"> </w:t>
      </w:r>
      <w:r w:rsidR="003A5E29" w:rsidRPr="006E3F3E">
        <w:rPr>
          <w:rFonts w:cs="Times New Roman"/>
          <w:sz w:val="22"/>
          <w:szCs w:val="22"/>
        </w:rPr>
        <w:t xml:space="preserve">Might widening standard deviations, for example, be suggestive of less strict norms surrounding paces of remarriage after the loss of a partner in post-WWI Europe, or of increasing economic resilience among women? Discussion of these questions requires consideration of the possible role of changing marriage markets and the interplay of structure and agency in shaping the </w:t>
      </w:r>
      <w:r w:rsidR="007753C2" w:rsidRPr="006E3F3E">
        <w:rPr>
          <w:rFonts w:cs="Times New Roman"/>
          <w:sz w:val="22"/>
          <w:szCs w:val="22"/>
        </w:rPr>
        <w:t xml:space="preserve">interaction </w:t>
      </w:r>
      <w:r w:rsidR="003A5E29" w:rsidRPr="006E3F3E">
        <w:rPr>
          <w:rFonts w:cs="Times New Roman"/>
          <w:sz w:val="22"/>
          <w:szCs w:val="22"/>
        </w:rPr>
        <w:t xml:space="preserve">between WWI and gender </w:t>
      </w:r>
      <w:r w:rsidR="00057D56" w:rsidRPr="006E3F3E">
        <w:rPr>
          <w:rFonts w:cs="Times New Roman"/>
          <w:sz w:val="22"/>
          <w:szCs w:val="22"/>
        </w:rPr>
        <w:t>relations</w:t>
      </w:r>
      <w:r w:rsidR="003A5E29" w:rsidRPr="006E3F3E">
        <w:rPr>
          <w:rFonts w:cs="Times New Roman"/>
          <w:sz w:val="22"/>
          <w:szCs w:val="22"/>
        </w:rPr>
        <w:t xml:space="preserve">. The theme also asks for discussion of qualitative sources that may unveil how societies looked towards women without a husband in the interbellum, and what heterogeneity according to time and place there was. </w:t>
      </w:r>
    </w:p>
    <w:p w14:paraId="6E6557FF" w14:textId="77777777" w:rsidR="003A5E29" w:rsidRPr="006E3F3E" w:rsidRDefault="003A5E29" w:rsidP="003A5E29">
      <w:pPr>
        <w:rPr>
          <w:rFonts w:cs="Times New Roman"/>
          <w:sz w:val="22"/>
          <w:szCs w:val="22"/>
        </w:rPr>
      </w:pPr>
    </w:p>
    <w:p w14:paraId="7BF1955F" w14:textId="683AEC04" w:rsidR="003A5E29" w:rsidRPr="006E3F3E" w:rsidRDefault="003A5E29" w:rsidP="003A5E29">
      <w:pPr>
        <w:jc w:val="both"/>
        <w:rPr>
          <w:rFonts w:cs="Times New Roman"/>
          <w:color w:val="F79646" w:themeColor="accent6"/>
          <w:sz w:val="22"/>
          <w:szCs w:val="22"/>
        </w:rPr>
      </w:pPr>
      <w:r w:rsidRPr="006E3F3E">
        <w:rPr>
          <w:rFonts w:cs="Times New Roman"/>
          <w:sz w:val="22"/>
          <w:szCs w:val="22"/>
        </w:rPr>
        <w:t xml:space="preserve">In considering the impact of WWI on marriages, divorces and gender relations, we aim to provide a balanced mix of European countries in the chapters of the edited volume. We are particularly (though not exclusively) interested in contributions about Belgium, Germany, </w:t>
      </w:r>
      <w:r w:rsidR="00157CAB" w:rsidRPr="006E3F3E">
        <w:rPr>
          <w:rFonts w:cs="Times New Roman"/>
          <w:sz w:val="22"/>
          <w:szCs w:val="22"/>
        </w:rPr>
        <w:t>Poland</w:t>
      </w:r>
      <w:r w:rsidR="00157CAB">
        <w:rPr>
          <w:rFonts w:cs="Times New Roman"/>
          <w:sz w:val="22"/>
          <w:szCs w:val="22"/>
        </w:rPr>
        <w:t>,</w:t>
      </w:r>
      <w:r w:rsidR="00157CAB" w:rsidRPr="006E3F3E">
        <w:rPr>
          <w:rFonts w:cs="Times New Roman"/>
          <w:sz w:val="22"/>
          <w:szCs w:val="22"/>
        </w:rPr>
        <w:t xml:space="preserve"> </w:t>
      </w:r>
      <w:r w:rsidRPr="006E3F3E">
        <w:rPr>
          <w:rFonts w:cs="Times New Roman"/>
          <w:sz w:val="22"/>
          <w:szCs w:val="22"/>
        </w:rPr>
        <w:t xml:space="preserve">France, </w:t>
      </w:r>
      <w:r w:rsidR="00157CAB">
        <w:rPr>
          <w:rFonts w:cs="Times New Roman"/>
          <w:sz w:val="22"/>
          <w:szCs w:val="22"/>
        </w:rPr>
        <w:t xml:space="preserve">and </w:t>
      </w:r>
      <w:r w:rsidRPr="006E3F3E">
        <w:rPr>
          <w:rFonts w:cs="Times New Roman"/>
          <w:sz w:val="22"/>
          <w:szCs w:val="22"/>
        </w:rPr>
        <w:t>the UK, as well as</w:t>
      </w:r>
      <w:r w:rsidR="00157CAB">
        <w:rPr>
          <w:rFonts w:cs="Times New Roman"/>
          <w:sz w:val="22"/>
          <w:szCs w:val="22"/>
        </w:rPr>
        <w:t xml:space="preserve"> in</w:t>
      </w:r>
      <w:r w:rsidRPr="006E3F3E">
        <w:rPr>
          <w:rFonts w:cs="Times New Roman"/>
          <w:sz w:val="22"/>
          <w:szCs w:val="22"/>
        </w:rPr>
        <w:t xml:space="preserve"> countries that were not directly engaged in WWI and can provide contrast by comparison</w:t>
      </w:r>
      <w:r w:rsidR="00A64E82" w:rsidRPr="006E3F3E">
        <w:rPr>
          <w:rFonts w:cs="Times New Roman"/>
          <w:sz w:val="22"/>
          <w:szCs w:val="22"/>
        </w:rPr>
        <w:t xml:space="preserve"> (e.g. The Netherlands)</w:t>
      </w:r>
      <w:r w:rsidRPr="006E3F3E">
        <w:rPr>
          <w:rFonts w:cs="Times New Roman"/>
          <w:sz w:val="22"/>
          <w:szCs w:val="22"/>
        </w:rPr>
        <w:t xml:space="preserve">. We welcome authors to compare several countries in a single paper. </w:t>
      </w:r>
    </w:p>
    <w:p w14:paraId="7DFC4B5A" w14:textId="77777777" w:rsidR="003A5E29" w:rsidRDefault="003A5E29" w:rsidP="003A5E29">
      <w:pPr>
        <w:jc w:val="both"/>
      </w:pPr>
    </w:p>
    <w:p w14:paraId="0755A52A" w14:textId="77777777" w:rsidR="003A5E29" w:rsidRPr="00ED0E02" w:rsidRDefault="003A5E29" w:rsidP="003A5E29"/>
    <w:p w14:paraId="7BADFA25" w14:textId="77777777" w:rsidR="003A5E29" w:rsidRPr="006021A5" w:rsidRDefault="003A5E29" w:rsidP="003A5E29">
      <w:pPr>
        <w:pStyle w:val="Kop2"/>
        <w:jc w:val="center"/>
        <w:rPr>
          <w:lang w:val="en-US"/>
        </w:rPr>
      </w:pPr>
      <w:r w:rsidRPr="006021A5">
        <w:rPr>
          <w:lang w:val="en-US"/>
        </w:rPr>
        <w:t>References</w:t>
      </w:r>
    </w:p>
    <w:p w14:paraId="5C625EFE" w14:textId="77777777" w:rsidR="003A5E29" w:rsidRPr="006021A5" w:rsidRDefault="003A5E29" w:rsidP="003A5E29">
      <w:pPr>
        <w:rPr>
          <w:rFonts w:cs="Monaco"/>
          <w:color w:val="262626"/>
          <w:sz w:val="22"/>
          <w:szCs w:val="22"/>
          <w:lang w:val="en-US"/>
        </w:rPr>
      </w:pPr>
    </w:p>
    <w:p w14:paraId="44E3125C" w14:textId="53468945" w:rsidR="003A5E29" w:rsidRPr="00A64E82" w:rsidRDefault="003A5E29" w:rsidP="003A5E29">
      <w:pPr>
        <w:spacing w:after="120"/>
        <w:jc w:val="both"/>
        <w:rPr>
          <w:rFonts w:cs="Monaco"/>
          <w:sz w:val="22"/>
          <w:szCs w:val="22"/>
          <w:lang w:val="fr-FR"/>
        </w:rPr>
      </w:pPr>
      <w:r w:rsidRPr="006021A5">
        <w:rPr>
          <w:rFonts w:cs="Monaco"/>
          <w:sz w:val="22"/>
          <w:szCs w:val="22"/>
          <w:lang w:val="en-US"/>
        </w:rPr>
        <w:t xml:space="preserve">Brée S., Eggerickx T., </w:t>
      </w:r>
      <w:r w:rsidR="003B78EA">
        <w:rPr>
          <w:rFonts w:cs="Monaco"/>
          <w:sz w:val="22"/>
          <w:szCs w:val="22"/>
          <w:lang w:val="en-US"/>
        </w:rPr>
        <w:t xml:space="preserve">and </w:t>
      </w:r>
      <w:r w:rsidRPr="006021A5">
        <w:rPr>
          <w:rFonts w:cs="Monaco"/>
          <w:sz w:val="22"/>
          <w:szCs w:val="22"/>
          <w:lang w:val="en-US"/>
        </w:rPr>
        <w:t>Bourguignon M.</w:t>
      </w:r>
      <w:r w:rsidR="00E17EA0">
        <w:rPr>
          <w:rFonts w:cs="Monaco"/>
          <w:sz w:val="22"/>
          <w:szCs w:val="22"/>
          <w:lang w:val="en-US"/>
        </w:rPr>
        <w:t xml:space="preserve"> (2016). </w:t>
      </w:r>
      <w:r w:rsidR="003B78EA" w:rsidRPr="006C0FE9">
        <w:rPr>
          <w:rFonts w:cs="Monaco"/>
          <w:sz w:val="22"/>
          <w:szCs w:val="22"/>
          <w:lang w:val="fr-FR"/>
        </w:rPr>
        <w:t>‘</w:t>
      </w:r>
      <w:r w:rsidRPr="00A64E82">
        <w:rPr>
          <w:rFonts w:cs="Monaco"/>
          <w:sz w:val="22"/>
          <w:szCs w:val="22"/>
          <w:lang w:val="fr-FR"/>
        </w:rPr>
        <w:t>La fécondité en Europe occidentale durant l’Entre-deux-guerres. Quels effets des crises sur les comportements démographiques</w:t>
      </w:r>
      <w:r w:rsidR="006C0FE9">
        <w:rPr>
          <w:rFonts w:cs="Monaco"/>
          <w:sz w:val="22"/>
          <w:szCs w:val="22"/>
          <w:lang w:val="fr-FR"/>
        </w:rPr>
        <w:t xml:space="preserve"> </w:t>
      </w:r>
      <w:r w:rsidRPr="00A64E82">
        <w:rPr>
          <w:rFonts w:cs="Monaco"/>
          <w:sz w:val="22"/>
          <w:szCs w:val="22"/>
          <w:lang w:val="fr-FR"/>
        </w:rPr>
        <w:t>?</w:t>
      </w:r>
      <w:r w:rsidR="003B78EA">
        <w:rPr>
          <w:rFonts w:cs="Monaco"/>
          <w:sz w:val="22"/>
          <w:szCs w:val="22"/>
          <w:lang w:val="fr-FR"/>
        </w:rPr>
        <w:t>’,</w:t>
      </w:r>
      <w:r w:rsidRPr="00A64E82">
        <w:rPr>
          <w:rFonts w:cs="Monaco"/>
          <w:sz w:val="22"/>
          <w:szCs w:val="22"/>
          <w:lang w:val="fr-FR"/>
        </w:rPr>
        <w:t xml:space="preserve"> </w:t>
      </w:r>
      <w:r w:rsidRPr="00A64E82">
        <w:rPr>
          <w:rFonts w:cs="Monaco"/>
          <w:i/>
          <w:sz w:val="22"/>
          <w:szCs w:val="22"/>
          <w:lang w:val="fr-FR"/>
        </w:rPr>
        <w:t>An</w:t>
      </w:r>
      <w:r w:rsidR="003B78EA">
        <w:rPr>
          <w:rFonts w:cs="Monaco"/>
          <w:i/>
          <w:sz w:val="22"/>
          <w:szCs w:val="22"/>
          <w:lang w:val="fr-FR"/>
        </w:rPr>
        <w:t>nales de Démographie Historique</w:t>
      </w:r>
      <w:r w:rsidRPr="00A64E82">
        <w:rPr>
          <w:rFonts w:cs="Monaco"/>
          <w:i/>
          <w:sz w:val="22"/>
          <w:szCs w:val="22"/>
          <w:lang w:val="fr-FR"/>
        </w:rPr>
        <w:t xml:space="preserve"> </w:t>
      </w:r>
      <w:r w:rsidRPr="00A64E82">
        <w:rPr>
          <w:rFonts w:cs="Monaco"/>
          <w:sz w:val="22"/>
          <w:szCs w:val="22"/>
          <w:lang w:val="fr-FR"/>
        </w:rPr>
        <w:t>2</w:t>
      </w:r>
      <w:r w:rsidR="006C0FE9">
        <w:rPr>
          <w:rFonts w:cs="Monaco"/>
          <w:sz w:val="22"/>
          <w:szCs w:val="22"/>
          <w:lang w:val="fr-FR"/>
        </w:rPr>
        <w:t>, forthcoming.</w:t>
      </w:r>
    </w:p>
    <w:p w14:paraId="56443654" w14:textId="139E1EAD" w:rsidR="003A5E29" w:rsidRPr="006021A5" w:rsidRDefault="003A5E29" w:rsidP="003A5E29">
      <w:pPr>
        <w:spacing w:after="120"/>
        <w:jc w:val="both"/>
        <w:rPr>
          <w:rFonts w:cs="Monaco"/>
          <w:sz w:val="22"/>
          <w:szCs w:val="22"/>
          <w:lang w:val="en-US"/>
        </w:rPr>
      </w:pPr>
      <w:r w:rsidRPr="006021A5">
        <w:rPr>
          <w:rFonts w:cs="Monaco"/>
          <w:sz w:val="22"/>
          <w:szCs w:val="22"/>
          <w:lang w:val="en-US"/>
        </w:rPr>
        <w:t xml:space="preserve">Brée S., Eggerickx T., </w:t>
      </w:r>
      <w:r w:rsidR="003B78EA">
        <w:rPr>
          <w:rFonts w:cs="Monaco"/>
          <w:sz w:val="22"/>
          <w:szCs w:val="22"/>
          <w:lang w:val="en-US"/>
        </w:rPr>
        <w:t xml:space="preserve">and </w:t>
      </w:r>
      <w:r w:rsidRPr="006021A5">
        <w:rPr>
          <w:rFonts w:cs="Monaco"/>
          <w:sz w:val="22"/>
          <w:szCs w:val="22"/>
          <w:lang w:val="en-US"/>
        </w:rPr>
        <w:t>Sanderson J-P.</w:t>
      </w:r>
      <w:r w:rsidR="00E17EA0">
        <w:rPr>
          <w:rFonts w:cs="Monaco"/>
          <w:sz w:val="22"/>
          <w:szCs w:val="22"/>
          <w:lang w:val="en-US"/>
        </w:rPr>
        <w:t xml:space="preserve"> (2016). </w:t>
      </w:r>
      <w:r w:rsidR="003B78EA">
        <w:rPr>
          <w:rFonts w:cs="Monaco"/>
          <w:sz w:val="22"/>
          <w:szCs w:val="22"/>
          <w:lang w:val="en-US"/>
        </w:rPr>
        <w:t>‘</w:t>
      </w:r>
      <w:r w:rsidRPr="006021A5">
        <w:rPr>
          <w:rFonts w:cs="Monaco"/>
          <w:sz w:val="22"/>
          <w:szCs w:val="22"/>
          <w:lang w:val="en-US"/>
        </w:rPr>
        <w:t>Low fertilities, childlessness and family changes during the first half of the 20</w:t>
      </w:r>
      <w:r w:rsidRPr="00057D56">
        <w:rPr>
          <w:rFonts w:cs="Monaco"/>
          <w:sz w:val="22"/>
          <w:szCs w:val="22"/>
          <w:vertAlign w:val="superscript"/>
          <w:lang w:val="en-US"/>
        </w:rPr>
        <w:t>th</w:t>
      </w:r>
      <w:r w:rsidR="00907E1A">
        <w:rPr>
          <w:rFonts w:cs="Monaco"/>
          <w:sz w:val="22"/>
          <w:szCs w:val="22"/>
          <w:lang w:val="en-US"/>
        </w:rPr>
        <w:t xml:space="preserve"> </w:t>
      </w:r>
      <w:r w:rsidRPr="006021A5">
        <w:rPr>
          <w:rFonts w:cs="Monaco"/>
          <w:sz w:val="22"/>
          <w:szCs w:val="22"/>
          <w:lang w:val="en-US"/>
        </w:rPr>
        <w:t>century in France and in Belgium</w:t>
      </w:r>
      <w:r w:rsidR="003B78EA">
        <w:rPr>
          <w:rFonts w:cs="Monaco"/>
          <w:sz w:val="22"/>
          <w:szCs w:val="22"/>
          <w:lang w:val="en-US"/>
        </w:rPr>
        <w:t>’,</w:t>
      </w:r>
      <w:r w:rsidR="00E17EA0">
        <w:rPr>
          <w:rFonts w:cs="Monaco"/>
          <w:sz w:val="22"/>
          <w:szCs w:val="22"/>
          <w:lang w:val="en-US"/>
        </w:rPr>
        <w:t xml:space="preserve"> </w:t>
      </w:r>
      <w:r w:rsidR="006C0FE9">
        <w:rPr>
          <w:rFonts w:cs="Monaco"/>
          <w:sz w:val="22"/>
          <w:szCs w:val="22"/>
          <w:lang w:val="en-US"/>
        </w:rPr>
        <w:t>Quetelet Journal, forthcoming.</w:t>
      </w:r>
    </w:p>
    <w:p w14:paraId="11E5055E" w14:textId="03F14165" w:rsidR="003A5E29" w:rsidRPr="004C2F73" w:rsidRDefault="003A5E29" w:rsidP="003A5E29">
      <w:pPr>
        <w:spacing w:after="120"/>
        <w:jc w:val="both"/>
        <w:rPr>
          <w:rFonts w:cs="Monaco"/>
          <w:sz w:val="22"/>
          <w:szCs w:val="22"/>
          <w:lang w:val="en-US"/>
        </w:rPr>
      </w:pPr>
      <w:r w:rsidRPr="006021A5">
        <w:rPr>
          <w:rFonts w:cs="Monaco"/>
          <w:sz w:val="22"/>
          <w:szCs w:val="22"/>
          <w:lang w:val="en-US"/>
        </w:rPr>
        <w:t xml:space="preserve">Carmichael, S. </w:t>
      </w:r>
      <w:r w:rsidR="00E17EA0">
        <w:rPr>
          <w:rFonts w:cs="Monaco"/>
          <w:sz w:val="22"/>
          <w:szCs w:val="22"/>
          <w:lang w:val="en-US"/>
        </w:rPr>
        <w:t>(</w:t>
      </w:r>
      <w:r w:rsidRPr="006021A5">
        <w:rPr>
          <w:rFonts w:cs="Monaco"/>
          <w:sz w:val="22"/>
          <w:szCs w:val="22"/>
          <w:lang w:val="en-US"/>
        </w:rPr>
        <w:t>2011</w:t>
      </w:r>
      <w:r w:rsidR="00E17EA0">
        <w:rPr>
          <w:rFonts w:cs="Monaco"/>
          <w:sz w:val="22"/>
          <w:szCs w:val="22"/>
          <w:lang w:val="en-US"/>
        </w:rPr>
        <w:t>)</w:t>
      </w:r>
      <w:r w:rsidRPr="006021A5">
        <w:rPr>
          <w:rFonts w:cs="Monaco"/>
          <w:sz w:val="22"/>
          <w:szCs w:val="22"/>
          <w:lang w:val="en-US"/>
        </w:rPr>
        <w:t xml:space="preserve">. </w:t>
      </w:r>
      <w:r w:rsidR="003B78EA">
        <w:rPr>
          <w:rFonts w:cs="Monaco"/>
          <w:sz w:val="22"/>
          <w:szCs w:val="22"/>
          <w:lang w:val="en-US"/>
        </w:rPr>
        <w:t>‘</w:t>
      </w:r>
      <w:r w:rsidRPr="006021A5">
        <w:rPr>
          <w:rFonts w:cs="Monaco"/>
          <w:sz w:val="22"/>
          <w:szCs w:val="22"/>
          <w:lang w:val="en-US"/>
        </w:rPr>
        <w:t xml:space="preserve">Marriage and power. </w:t>
      </w:r>
      <w:r w:rsidRPr="004C2F73">
        <w:rPr>
          <w:rFonts w:cs="Monaco"/>
          <w:sz w:val="22"/>
          <w:szCs w:val="22"/>
          <w:lang w:val="en-US"/>
        </w:rPr>
        <w:t>Age at first marriage and spousal age gap in lesser developed countries</w:t>
      </w:r>
      <w:r w:rsidR="003B78EA">
        <w:rPr>
          <w:rFonts w:cs="Monaco"/>
          <w:sz w:val="22"/>
          <w:szCs w:val="22"/>
          <w:lang w:val="en-US"/>
        </w:rPr>
        <w:t>’,</w:t>
      </w:r>
      <w:r w:rsidRPr="004C2F73">
        <w:rPr>
          <w:rFonts w:cs="Monaco"/>
          <w:sz w:val="22"/>
          <w:szCs w:val="22"/>
          <w:lang w:val="en-US"/>
        </w:rPr>
        <w:t xml:space="preserve"> </w:t>
      </w:r>
      <w:r w:rsidRPr="004C2F73">
        <w:rPr>
          <w:rFonts w:cs="Monaco"/>
          <w:i/>
          <w:sz w:val="22"/>
          <w:szCs w:val="22"/>
          <w:lang w:val="en-US"/>
        </w:rPr>
        <w:t>The History of the Family</w:t>
      </w:r>
      <w:r w:rsidR="003B78EA">
        <w:rPr>
          <w:rFonts w:cs="Monaco"/>
          <w:i/>
          <w:sz w:val="22"/>
          <w:szCs w:val="22"/>
          <w:lang w:val="en-US"/>
        </w:rPr>
        <w:t xml:space="preserve"> </w:t>
      </w:r>
      <w:r w:rsidRPr="004C2F73">
        <w:rPr>
          <w:rFonts w:cs="Monaco"/>
          <w:sz w:val="22"/>
          <w:szCs w:val="22"/>
          <w:lang w:val="en-US"/>
        </w:rPr>
        <w:t>16</w:t>
      </w:r>
      <w:r w:rsidR="003B78EA">
        <w:rPr>
          <w:rFonts w:cs="Monaco"/>
          <w:sz w:val="22"/>
          <w:szCs w:val="22"/>
          <w:lang w:val="en-US"/>
        </w:rPr>
        <w:t>.</w:t>
      </w:r>
      <w:r w:rsidRPr="004C2F73">
        <w:rPr>
          <w:rFonts w:cs="Monaco"/>
          <w:sz w:val="22"/>
          <w:szCs w:val="22"/>
          <w:lang w:val="en-US"/>
        </w:rPr>
        <w:t xml:space="preserve">4: 416-36. </w:t>
      </w:r>
    </w:p>
    <w:p w14:paraId="1A0B9A41" w14:textId="651FE209" w:rsidR="003A5E29" w:rsidRPr="008F4925" w:rsidRDefault="003A5E29" w:rsidP="003A5E29">
      <w:pPr>
        <w:spacing w:after="120"/>
        <w:jc w:val="both"/>
        <w:rPr>
          <w:sz w:val="22"/>
          <w:szCs w:val="22"/>
          <w:lang w:val="nl-BE"/>
        </w:rPr>
      </w:pPr>
      <w:r w:rsidRPr="006E3F3E">
        <w:rPr>
          <w:rFonts w:cs="Monaco"/>
          <w:sz w:val="22"/>
          <w:szCs w:val="22"/>
          <w:lang w:val="nl-BE"/>
        </w:rPr>
        <w:t xml:space="preserve">Dumont, G. H. </w:t>
      </w:r>
      <w:r w:rsidRPr="006E3F3E">
        <w:rPr>
          <w:rFonts w:cs="Monaco"/>
          <w:i/>
          <w:sz w:val="22"/>
          <w:szCs w:val="22"/>
          <w:lang w:val="nl-BE"/>
        </w:rPr>
        <w:t>et al</w:t>
      </w:r>
      <w:r w:rsidRPr="006E3F3E">
        <w:rPr>
          <w:rFonts w:cs="Monaco"/>
          <w:sz w:val="22"/>
          <w:szCs w:val="22"/>
          <w:lang w:val="nl-BE"/>
        </w:rPr>
        <w:t xml:space="preserve">. </w:t>
      </w:r>
      <w:r w:rsidR="00E17EA0" w:rsidRPr="006E3F3E">
        <w:rPr>
          <w:rFonts w:cs="Monaco"/>
          <w:sz w:val="22"/>
          <w:szCs w:val="22"/>
          <w:lang w:val="nl-BE"/>
        </w:rPr>
        <w:t>(</w:t>
      </w:r>
      <w:r w:rsidRPr="006E3F3E">
        <w:rPr>
          <w:rFonts w:cs="Monaco"/>
          <w:sz w:val="22"/>
          <w:szCs w:val="22"/>
          <w:lang w:val="nl-BE"/>
        </w:rPr>
        <w:t>1981</w:t>
      </w:r>
      <w:r w:rsidR="00E17EA0" w:rsidRPr="006E3F3E">
        <w:rPr>
          <w:rFonts w:cs="Monaco"/>
          <w:sz w:val="22"/>
          <w:szCs w:val="22"/>
          <w:lang w:val="nl-BE"/>
        </w:rPr>
        <w:t>)</w:t>
      </w:r>
      <w:r w:rsidRPr="006E3F3E">
        <w:rPr>
          <w:rFonts w:cs="Monaco"/>
          <w:sz w:val="22"/>
          <w:szCs w:val="22"/>
          <w:lang w:val="nl-BE"/>
        </w:rPr>
        <w:t xml:space="preserve">. </w:t>
      </w:r>
      <w:r w:rsidRPr="006E3F3E">
        <w:rPr>
          <w:rFonts w:cs="Monaco"/>
          <w:i/>
          <w:sz w:val="22"/>
          <w:szCs w:val="22"/>
          <w:lang w:val="nl-BE"/>
        </w:rPr>
        <w:t>De dolle jaren in België, 1920-1930</w:t>
      </w:r>
      <w:r w:rsidRPr="006E3F3E">
        <w:rPr>
          <w:rFonts w:cs="Monaco"/>
          <w:sz w:val="22"/>
          <w:szCs w:val="22"/>
          <w:lang w:val="nl-BE"/>
        </w:rPr>
        <w:t xml:space="preserve">. </w:t>
      </w:r>
      <w:r w:rsidRPr="008F4925">
        <w:rPr>
          <w:rFonts w:cs="Monaco"/>
          <w:sz w:val="22"/>
          <w:szCs w:val="22"/>
          <w:lang w:val="nl-BE"/>
        </w:rPr>
        <w:t>Brussel: R. Coolen.</w:t>
      </w:r>
    </w:p>
    <w:p w14:paraId="79853925" w14:textId="340B7C82" w:rsidR="00907E1A" w:rsidRDefault="00907E1A" w:rsidP="003A5E29">
      <w:pPr>
        <w:spacing w:after="120"/>
        <w:jc w:val="both"/>
        <w:rPr>
          <w:sz w:val="22"/>
          <w:szCs w:val="22"/>
          <w:lang w:val="fr-FR"/>
        </w:rPr>
      </w:pPr>
      <w:r w:rsidRPr="008F4925">
        <w:rPr>
          <w:sz w:val="22"/>
          <w:szCs w:val="22"/>
          <w:lang w:val="nl-BE"/>
        </w:rPr>
        <w:t>Eggerickx</w:t>
      </w:r>
      <w:r w:rsidR="003B78EA" w:rsidRPr="008F4925">
        <w:rPr>
          <w:sz w:val="22"/>
          <w:szCs w:val="22"/>
          <w:lang w:val="nl-BE"/>
        </w:rPr>
        <w:t>,</w:t>
      </w:r>
      <w:r w:rsidRPr="008F4925">
        <w:rPr>
          <w:sz w:val="22"/>
          <w:szCs w:val="22"/>
          <w:lang w:val="nl-BE"/>
        </w:rPr>
        <w:t xml:space="preserve"> T.</w:t>
      </w:r>
      <w:r w:rsidR="003B78EA" w:rsidRPr="008F4925">
        <w:rPr>
          <w:sz w:val="22"/>
          <w:szCs w:val="22"/>
          <w:lang w:val="nl-BE"/>
        </w:rPr>
        <w:t xml:space="preserve"> (2014). </w:t>
      </w:r>
      <w:r w:rsidR="003B78EA">
        <w:rPr>
          <w:sz w:val="22"/>
          <w:szCs w:val="22"/>
          <w:lang w:val="fr-FR"/>
        </w:rPr>
        <w:t>‘</w:t>
      </w:r>
      <w:r w:rsidRPr="00907E1A">
        <w:rPr>
          <w:sz w:val="22"/>
          <w:szCs w:val="22"/>
          <w:lang w:val="fr-FR"/>
        </w:rPr>
        <w:t>L’impact démographique de la Première Guerre mondiale. Tendances générales et diversités spatiales</w:t>
      </w:r>
      <w:r w:rsidR="003B78EA">
        <w:rPr>
          <w:sz w:val="22"/>
          <w:szCs w:val="22"/>
          <w:lang w:val="fr-FR"/>
        </w:rPr>
        <w:t>’,</w:t>
      </w:r>
      <w:r w:rsidRPr="00907E1A">
        <w:rPr>
          <w:sz w:val="22"/>
          <w:szCs w:val="22"/>
          <w:lang w:val="fr-FR"/>
        </w:rPr>
        <w:t xml:space="preserve"> in </w:t>
      </w:r>
      <w:r w:rsidR="003B78EA" w:rsidRPr="00907E1A">
        <w:rPr>
          <w:sz w:val="22"/>
          <w:szCs w:val="22"/>
          <w:lang w:val="fr-FR"/>
        </w:rPr>
        <w:t>H</w:t>
      </w:r>
      <w:r w:rsidR="003B78EA">
        <w:rPr>
          <w:sz w:val="22"/>
          <w:szCs w:val="22"/>
          <w:lang w:val="fr-FR"/>
        </w:rPr>
        <w:t>.</w:t>
      </w:r>
      <w:r w:rsidR="003B78EA" w:rsidRPr="00907E1A">
        <w:rPr>
          <w:sz w:val="22"/>
          <w:szCs w:val="22"/>
          <w:lang w:val="fr-FR"/>
        </w:rPr>
        <w:t xml:space="preserve"> Hasquin (</w:t>
      </w:r>
      <w:r w:rsidR="003B78EA">
        <w:rPr>
          <w:sz w:val="22"/>
          <w:szCs w:val="22"/>
          <w:lang w:val="fr-FR"/>
        </w:rPr>
        <w:t>ed</w:t>
      </w:r>
      <w:r w:rsidR="003B78EA" w:rsidRPr="00907E1A">
        <w:rPr>
          <w:sz w:val="22"/>
          <w:szCs w:val="22"/>
          <w:lang w:val="fr-FR"/>
        </w:rPr>
        <w:t xml:space="preserve">.), </w:t>
      </w:r>
      <w:r w:rsidRPr="003B78EA">
        <w:rPr>
          <w:i/>
          <w:sz w:val="22"/>
          <w:szCs w:val="22"/>
          <w:lang w:val="fr-FR"/>
        </w:rPr>
        <w:t>La bataille de Charleroi. 100 ans après</w:t>
      </w:r>
      <w:r w:rsidR="003B78EA">
        <w:rPr>
          <w:sz w:val="22"/>
          <w:szCs w:val="22"/>
          <w:lang w:val="fr-FR"/>
        </w:rPr>
        <w:t>.</w:t>
      </w:r>
      <w:r w:rsidRPr="00907E1A">
        <w:rPr>
          <w:sz w:val="22"/>
          <w:szCs w:val="22"/>
          <w:lang w:val="fr-FR"/>
        </w:rPr>
        <w:t xml:space="preserve"> Bru</w:t>
      </w:r>
      <w:r w:rsidR="003B78EA">
        <w:rPr>
          <w:sz w:val="22"/>
          <w:szCs w:val="22"/>
          <w:lang w:val="fr-FR"/>
        </w:rPr>
        <w:t>ssels,</w:t>
      </w:r>
      <w:r w:rsidRPr="00907E1A">
        <w:rPr>
          <w:sz w:val="22"/>
          <w:szCs w:val="22"/>
          <w:lang w:val="fr-FR"/>
        </w:rPr>
        <w:t xml:space="preserve"> Académie Royale de </w:t>
      </w:r>
      <w:r w:rsidR="006C0FE9">
        <w:rPr>
          <w:sz w:val="22"/>
          <w:szCs w:val="22"/>
          <w:lang w:val="fr-FR"/>
        </w:rPr>
        <w:t xml:space="preserve">Belgique </w:t>
      </w:r>
      <w:r w:rsidR="003B78EA">
        <w:rPr>
          <w:sz w:val="22"/>
          <w:szCs w:val="22"/>
          <w:lang w:val="fr-FR"/>
        </w:rPr>
        <w:t>: 105-135.</w:t>
      </w:r>
    </w:p>
    <w:p w14:paraId="4A295E71" w14:textId="37B460C4" w:rsidR="003A5E29" w:rsidRPr="00057D56" w:rsidRDefault="003A5E29" w:rsidP="003A5E29">
      <w:pPr>
        <w:spacing w:after="120"/>
        <w:jc w:val="both"/>
        <w:rPr>
          <w:sz w:val="22"/>
          <w:szCs w:val="22"/>
          <w:lang w:val="fr-FR"/>
        </w:rPr>
      </w:pPr>
      <w:r w:rsidRPr="00057D56">
        <w:rPr>
          <w:sz w:val="22"/>
          <w:szCs w:val="22"/>
          <w:lang w:val="fr-FR"/>
        </w:rPr>
        <w:t>Festy, P</w:t>
      </w:r>
      <w:r w:rsidR="003B78EA">
        <w:rPr>
          <w:sz w:val="22"/>
          <w:szCs w:val="22"/>
          <w:lang w:val="fr-FR"/>
        </w:rPr>
        <w:t>.</w:t>
      </w:r>
      <w:r w:rsidRPr="00057D56">
        <w:rPr>
          <w:sz w:val="22"/>
          <w:szCs w:val="22"/>
          <w:lang w:val="fr-FR"/>
        </w:rPr>
        <w:t xml:space="preserve"> (1984)</w:t>
      </w:r>
      <w:r w:rsidR="00E17EA0" w:rsidRPr="00057D56">
        <w:rPr>
          <w:sz w:val="22"/>
          <w:szCs w:val="22"/>
          <w:lang w:val="fr-FR"/>
        </w:rPr>
        <w:t xml:space="preserve">. </w:t>
      </w:r>
      <w:r w:rsidR="003B78EA">
        <w:rPr>
          <w:sz w:val="22"/>
          <w:szCs w:val="22"/>
          <w:lang w:val="fr-FR"/>
        </w:rPr>
        <w:t>‘</w:t>
      </w:r>
      <w:r w:rsidRPr="00057D56">
        <w:rPr>
          <w:sz w:val="22"/>
          <w:szCs w:val="22"/>
          <w:lang w:val="fr-FR"/>
        </w:rPr>
        <w:t>Effets et répercussion de la première guerre mondiale sur la fécondité française</w:t>
      </w:r>
      <w:r w:rsidR="003B78EA">
        <w:rPr>
          <w:sz w:val="22"/>
          <w:szCs w:val="22"/>
          <w:lang w:val="fr-FR"/>
        </w:rPr>
        <w:t>’,</w:t>
      </w:r>
      <w:r w:rsidR="00E17EA0" w:rsidRPr="00057D56">
        <w:rPr>
          <w:sz w:val="22"/>
          <w:szCs w:val="22"/>
          <w:lang w:val="fr-FR"/>
        </w:rPr>
        <w:t xml:space="preserve"> </w:t>
      </w:r>
      <w:r w:rsidRPr="003B78EA">
        <w:rPr>
          <w:i/>
          <w:sz w:val="22"/>
          <w:szCs w:val="22"/>
          <w:lang w:val="fr-FR"/>
        </w:rPr>
        <w:t>Population</w:t>
      </w:r>
      <w:r w:rsidRPr="00057D56">
        <w:rPr>
          <w:sz w:val="22"/>
          <w:szCs w:val="22"/>
          <w:lang w:val="fr-FR"/>
        </w:rPr>
        <w:t xml:space="preserve"> 39</w:t>
      </w:r>
      <w:r w:rsidR="003B78EA">
        <w:rPr>
          <w:sz w:val="22"/>
          <w:szCs w:val="22"/>
          <w:lang w:val="fr-FR"/>
        </w:rPr>
        <w:t>.</w:t>
      </w:r>
      <w:r w:rsidRPr="00057D56">
        <w:rPr>
          <w:sz w:val="22"/>
          <w:szCs w:val="22"/>
          <w:lang w:val="fr-FR"/>
        </w:rPr>
        <w:t>6</w:t>
      </w:r>
      <w:r w:rsidR="003B78EA">
        <w:rPr>
          <w:sz w:val="22"/>
          <w:szCs w:val="22"/>
          <w:lang w:val="fr-FR"/>
        </w:rPr>
        <w:t>:</w:t>
      </w:r>
      <w:r w:rsidRPr="00057D56">
        <w:rPr>
          <w:sz w:val="22"/>
          <w:szCs w:val="22"/>
          <w:lang w:val="fr-FR"/>
        </w:rPr>
        <w:t xml:space="preserve"> 977-1010.</w:t>
      </w:r>
    </w:p>
    <w:p w14:paraId="3019030C" w14:textId="2A34BFF6" w:rsidR="003A5E29" w:rsidRPr="004C2F73" w:rsidRDefault="003A5E29" w:rsidP="003A5E29">
      <w:pPr>
        <w:spacing w:after="120"/>
        <w:jc w:val="both"/>
        <w:rPr>
          <w:sz w:val="22"/>
          <w:szCs w:val="22"/>
          <w:lang w:val="fr-FR"/>
        </w:rPr>
      </w:pPr>
      <w:r w:rsidRPr="008F4925">
        <w:rPr>
          <w:sz w:val="22"/>
          <w:szCs w:val="22"/>
          <w:lang w:val="nl-BE"/>
        </w:rPr>
        <w:t xml:space="preserve">Gubin, É. and De Smaele, H. </w:t>
      </w:r>
      <w:r w:rsidR="00E17EA0" w:rsidRPr="008F4925">
        <w:rPr>
          <w:sz w:val="22"/>
          <w:szCs w:val="22"/>
          <w:lang w:val="nl-BE"/>
        </w:rPr>
        <w:t>(</w:t>
      </w:r>
      <w:r w:rsidRPr="008F4925">
        <w:rPr>
          <w:sz w:val="22"/>
          <w:szCs w:val="22"/>
          <w:lang w:val="nl-BE"/>
        </w:rPr>
        <w:t>2015</w:t>
      </w:r>
      <w:r w:rsidR="00E17EA0" w:rsidRPr="008F4925">
        <w:rPr>
          <w:sz w:val="22"/>
          <w:szCs w:val="22"/>
          <w:lang w:val="nl-BE"/>
        </w:rPr>
        <w:t>)</w:t>
      </w:r>
      <w:r w:rsidRPr="008F4925">
        <w:rPr>
          <w:sz w:val="22"/>
          <w:szCs w:val="22"/>
          <w:lang w:val="nl-BE"/>
        </w:rPr>
        <w:t xml:space="preserve">. </w:t>
      </w:r>
      <w:r w:rsidRPr="004C2F73">
        <w:rPr>
          <w:rStyle w:val="italique1"/>
          <w:sz w:val="22"/>
          <w:szCs w:val="22"/>
          <w:lang w:val="fr-FR"/>
        </w:rPr>
        <w:t>Femmes et hommes en guerre. 1914-1918</w:t>
      </w:r>
      <w:r w:rsidRPr="004C2F73">
        <w:rPr>
          <w:i/>
          <w:sz w:val="22"/>
          <w:szCs w:val="22"/>
          <w:lang w:val="fr-FR"/>
        </w:rPr>
        <w:t>, gender@war</w:t>
      </w:r>
      <w:r w:rsidRPr="004C2F73">
        <w:rPr>
          <w:sz w:val="22"/>
          <w:szCs w:val="22"/>
          <w:lang w:val="fr-FR"/>
        </w:rPr>
        <w:t>.  Waterloo</w:t>
      </w:r>
      <w:r w:rsidR="006C0FE9">
        <w:rPr>
          <w:sz w:val="22"/>
          <w:szCs w:val="22"/>
          <w:lang w:val="fr-FR"/>
        </w:rPr>
        <w:t xml:space="preserve"> </w:t>
      </w:r>
      <w:r w:rsidRPr="004C2F73">
        <w:rPr>
          <w:sz w:val="22"/>
          <w:szCs w:val="22"/>
          <w:lang w:val="fr-FR"/>
        </w:rPr>
        <w:t xml:space="preserve">: Renaissance du Livre. </w:t>
      </w:r>
    </w:p>
    <w:p w14:paraId="4A96AFB6" w14:textId="7C0058F4" w:rsidR="003A5E29" w:rsidRPr="004C2F73" w:rsidRDefault="003A5E29" w:rsidP="003A5E29">
      <w:pPr>
        <w:spacing w:after="120"/>
        <w:jc w:val="both"/>
        <w:rPr>
          <w:sz w:val="22"/>
          <w:szCs w:val="22"/>
          <w:lang w:val="nl-BE"/>
        </w:rPr>
      </w:pPr>
      <w:r w:rsidRPr="00057D56">
        <w:rPr>
          <w:rFonts w:cs="Monaco"/>
          <w:sz w:val="22"/>
          <w:szCs w:val="22"/>
          <w:lang w:val="fr-FR"/>
        </w:rPr>
        <w:lastRenderedPageBreak/>
        <w:t>Henry, L</w:t>
      </w:r>
      <w:r w:rsidR="003B78EA">
        <w:rPr>
          <w:rFonts w:cs="Monaco"/>
          <w:sz w:val="22"/>
          <w:szCs w:val="22"/>
          <w:lang w:val="fr-FR"/>
        </w:rPr>
        <w:t>.</w:t>
      </w:r>
      <w:r w:rsidRPr="00057D56">
        <w:rPr>
          <w:rFonts w:cs="Monaco"/>
          <w:sz w:val="22"/>
          <w:szCs w:val="22"/>
          <w:lang w:val="fr-FR"/>
        </w:rPr>
        <w:t xml:space="preserve"> (1966)</w:t>
      </w:r>
      <w:r w:rsidR="00E17EA0" w:rsidRPr="00057D56">
        <w:rPr>
          <w:rFonts w:cs="Monaco"/>
          <w:sz w:val="22"/>
          <w:szCs w:val="22"/>
          <w:lang w:val="fr-FR"/>
        </w:rPr>
        <w:t xml:space="preserve">. </w:t>
      </w:r>
      <w:r w:rsidRPr="00057D56">
        <w:rPr>
          <w:rFonts w:cs="Monaco"/>
          <w:sz w:val="22"/>
          <w:szCs w:val="22"/>
          <w:lang w:val="fr-FR"/>
        </w:rPr>
        <w:t xml:space="preserve"> </w:t>
      </w:r>
      <w:r w:rsidR="003B78EA">
        <w:rPr>
          <w:rFonts w:cs="Monaco"/>
          <w:sz w:val="22"/>
          <w:szCs w:val="22"/>
          <w:lang w:val="fr-FR"/>
        </w:rPr>
        <w:t>‘</w:t>
      </w:r>
      <w:r w:rsidRPr="004C2F73">
        <w:rPr>
          <w:rFonts w:cs="Monaco"/>
          <w:sz w:val="22"/>
          <w:szCs w:val="22"/>
          <w:lang w:val="nl-BE"/>
        </w:rPr>
        <w:t>Perturbations de la nuptialité résultant de la guerre 1914-1918</w:t>
      </w:r>
      <w:r w:rsidR="003B78EA">
        <w:rPr>
          <w:rFonts w:cs="Monaco"/>
          <w:sz w:val="22"/>
          <w:szCs w:val="22"/>
          <w:lang w:val="nl-BE"/>
        </w:rPr>
        <w:t>’,</w:t>
      </w:r>
      <w:r w:rsidR="00E17EA0">
        <w:rPr>
          <w:rFonts w:cs="Monaco"/>
          <w:sz w:val="22"/>
          <w:szCs w:val="22"/>
          <w:lang w:val="nl-BE"/>
        </w:rPr>
        <w:t xml:space="preserve"> </w:t>
      </w:r>
      <w:r w:rsidRPr="003B78EA">
        <w:rPr>
          <w:rFonts w:cs="Monaco"/>
          <w:i/>
          <w:sz w:val="22"/>
          <w:szCs w:val="22"/>
          <w:lang w:val="nl-BE"/>
        </w:rPr>
        <w:t>Population</w:t>
      </w:r>
      <w:r w:rsidR="003B78EA">
        <w:rPr>
          <w:rFonts w:cs="Monaco"/>
          <w:sz w:val="22"/>
          <w:szCs w:val="22"/>
          <w:lang w:val="nl-BE"/>
        </w:rPr>
        <w:t xml:space="preserve"> 21.</w:t>
      </w:r>
      <w:r w:rsidRPr="004C2F73">
        <w:rPr>
          <w:rFonts w:cs="Monaco"/>
          <w:sz w:val="22"/>
          <w:szCs w:val="22"/>
          <w:lang w:val="nl-BE"/>
        </w:rPr>
        <w:t>2</w:t>
      </w:r>
      <w:r w:rsidR="003B78EA">
        <w:rPr>
          <w:rFonts w:cs="Monaco"/>
          <w:sz w:val="22"/>
          <w:szCs w:val="22"/>
          <w:lang w:val="nl-BE"/>
        </w:rPr>
        <w:t>:</w:t>
      </w:r>
      <w:r w:rsidRPr="004C2F73">
        <w:rPr>
          <w:rFonts w:cs="Monaco"/>
          <w:sz w:val="22"/>
          <w:szCs w:val="22"/>
          <w:lang w:val="nl-BE"/>
        </w:rPr>
        <w:t xml:space="preserve"> 273-332.</w:t>
      </w:r>
    </w:p>
    <w:p w14:paraId="11DFB67B" w14:textId="60D820A9" w:rsidR="003A5E29" w:rsidRPr="006E3F3E" w:rsidRDefault="003A5E29" w:rsidP="003A5E29">
      <w:pPr>
        <w:spacing w:after="120"/>
        <w:jc w:val="both"/>
        <w:rPr>
          <w:sz w:val="22"/>
          <w:szCs w:val="22"/>
          <w:lang w:val="en-US"/>
        </w:rPr>
      </w:pPr>
      <w:r w:rsidRPr="006021A5">
        <w:rPr>
          <w:sz w:val="22"/>
          <w:szCs w:val="22"/>
          <w:lang w:val="nl-BE"/>
        </w:rPr>
        <w:t>Kok, J. and Van Bavel, J. (eds.)</w:t>
      </w:r>
      <w:r w:rsidR="00E17EA0">
        <w:rPr>
          <w:sz w:val="22"/>
          <w:szCs w:val="22"/>
          <w:lang w:val="nl-BE"/>
        </w:rPr>
        <w:t xml:space="preserve"> (</w:t>
      </w:r>
      <w:r w:rsidRPr="00057D56">
        <w:rPr>
          <w:sz w:val="22"/>
          <w:szCs w:val="22"/>
          <w:lang w:val="nl-BE"/>
        </w:rPr>
        <w:t>2010</w:t>
      </w:r>
      <w:r w:rsidR="00E17EA0" w:rsidRPr="00057D56">
        <w:rPr>
          <w:sz w:val="22"/>
          <w:szCs w:val="22"/>
          <w:lang w:val="nl-BE"/>
        </w:rPr>
        <w:t>)</w:t>
      </w:r>
      <w:r w:rsidRPr="00057D56">
        <w:rPr>
          <w:sz w:val="22"/>
          <w:szCs w:val="22"/>
          <w:lang w:val="nl-BE"/>
        </w:rPr>
        <w:t xml:space="preserve">. </w:t>
      </w:r>
      <w:r w:rsidRPr="00057D56">
        <w:rPr>
          <w:i/>
          <w:sz w:val="22"/>
          <w:szCs w:val="22"/>
          <w:lang w:val="nl-BE"/>
        </w:rPr>
        <w:t xml:space="preserve">De levenskracht der bevolking. </w:t>
      </w:r>
      <w:r w:rsidRPr="004C2F73">
        <w:rPr>
          <w:i/>
          <w:sz w:val="22"/>
          <w:szCs w:val="22"/>
          <w:lang w:val="fr-FR"/>
        </w:rPr>
        <w:t>Sociale en demografische kwesties in de Lage Landen tijdens het interbellum</w:t>
      </w:r>
      <w:r w:rsidR="003B78EA">
        <w:rPr>
          <w:sz w:val="22"/>
          <w:szCs w:val="22"/>
          <w:lang w:val="fr-FR"/>
        </w:rPr>
        <w:t>.</w:t>
      </w:r>
      <w:r w:rsidRPr="004C2F73">
        <w:rPr>
          <w:sz w:val="22"/>
          <w:szCs w:val="22"/>
          <w:lang w:val="fr-FR"/>
        </w:rPr>
        <w:t xml:space="preserve"> </w:t>
      </w:r>
      <w:r w:rsidRPr="006E3F3E">
        <w:rPr>
          <w:sz w:val="22"/>
          <w:szCs w:val="22"/>
          <w:lang w:val="en-US"/>
        </w:rPr>
        <w:t>Leuven: Universitaire Pers.</w:t>
      </w:r>
    </w:p>
    <w:p w14:paraId="4E684C99" w14:textId="1DF11B5E" w:rsidR="003A5E29" w:rsidRPr="006C0FE9" w:rsidRDefault="003A5E29" w:rsidP="003A5E29">
      <w:pPr>
        <w:spacing w:after="120"/>
        <w:jc w:val="both"/>
        <w:rPr>
          <w:sz w:val="22"/>
          <w:szCs w:val="22"/>
        </w:rPr>
      </w:pPr>
      <w:r w:rsidRPr="006E3F3E">
        <w:rPr>
          <w:rStyle w:val="marquage"/>
          <w:sz w:val="22"/>
          <w:szCs w:val="22"/>
          <w:lang w:val="en-US"/>
        </w:rPr>
        <w:t>Matthijs</w:t>
      </w:r>
      <w:r w:rsidRPr="006E3F3E">
        <w:rPr>
          <w:sz w:val="22"/>
          <w:szCs w:val="22"/>
          <w:lang w:val="en-US"/>
        </w:rPr>
        <w:t xml:space="preserve">, K. </w:t>
      </w:r>
      <w:r w:rsidR="00E17EA0" w:rsidRPr="006E3F3E">
        <w:rPr>
          <w:sz w:val="22"/>
          <w:szCs w:val="22"/>
          <w:lang w:val="en-US"/>
        </w:rPr>
        <w:t>(</w:t>
      </w:r>
      <w:r w:rsidRPr="006E3F3E">
        <w:rPr>
          <w:sz w:val="22"/>
          <w:szCs w:val="22"/>
          <w:lang w:val="en-US"/>
        </w:rPr>
        <w:t>2002</w:t>
      </w:r>
      <w:r w:rsidR="00E17EA0" w:rsidRPr="006E3F3E">
        <w:rPr>
          <w:sz w:val="22"/>
          <w:szCs w:val="22"/>
          <w:lang w:val="en-US"/>
        </w:rPr>
        <w:t>)</w:t>
      </w:r>
      <w:r w:rsidRPr="006E3F3E">
        <w:rPr>
          <w:sz w:val="22"/>
          <w:szCs w:val="22"/>
          <w:lang w:val="en-US"/>
        </w:rPr>
        <w:t xml:space="preserve">. </w:t>
      </w:r>
      <w:r w:rsidR="003B78EA" w:rsidRPr="006E3F3E">
        <w:rPr>
          <w:sz w:val="22"/>
          <w:szCs w:val="22"/>
          <w:lang w:val="en-US"/>
        </w:rPr>
        <w:t>‘</w:t>
      </w:r>
      <w:r w:rsidRPr="006E3F3E">
        <w:rPr>
          <w:sz w:val="22"/>
          <w:szCs w:val="22"/>
          <w:lang w:val="en-US"/>
        </w:rPr>
        <w:t>Mimetic appetite for marriage in nineteenth-century Flanders: gender disadv</w:t>
      </w:r>
      <w:r w:rsidRPr="00057D56">
        <w:rPr>
          <w:sz w:val="22"/>
          <w:szCs w:val="22"/>
        </w:rPr>
        <w:t>antage as an incentive for social change</w:t>
      </w:r>
      <w:r w:rsidR="003B78EA">
        <w:rPr>
          <w:sz w:val="22"/>
          <w:szCs w:val="22"/>
        </w:rPr>
        <w:t>’,</w:t>
      </w:r>
      <w:r w:rsidRPr="00057D56">
        <w:rPr>
          <w:sz w:val="22"/>
          <w:szCs w:val="22"/>
        </w:rPr>
        <w:t xml:space="preserve"> </w:t>
      </w:r>
      <w:r w:rsidRPr="006C0FE9">
        <w:rPr>
          <w:i/>
          <w:sz w:val="22"/>
          <w:szCs w:val="22"/>
        </w:rPr>
        <w:t>Journal of Family History</w:t>
      </w:r>
      <w:r w:rsidR="00E17EA0" w:rsidRPr="006C0FE9">
        <w:rPr>
          <w:i/>
          <w:sz w:val="22"/>
          <w:szCs w:val="22"/>
        </w:rPr>
        <w:t>,</w:t>
      </w:r>
      <w:r w:rsidRPr="006C0FE9">
        <w:rPr>
          <w:sz w:val="22"/>
          <w:szCs w:val="22"/>
        </w:rPr>
        <w:t xml:space="preserve"> 27</w:t>
      </w:r>
      <w:r w:rsidR="003B78EA" w:rsidRPr="006C0FE9">
        <w:rPr>
          <w:sz w:val="22"/>
          <w:szCs w:val="22"/>
        </w:rPr>
        <w:t>.</w:t>
      </w:r>
      <w:r w:rsidR="00E17EA0" w:rsidRPr="006C0FE9">
        <w:rPr>
          <w:sz w:val="22"/>
          <w:szCs w:val="22"/>
        </w:rPr>
        <w:t>2</w:t>
      </w:r>
      <w:r w:rsidR="003B78EA" w:rsidRPr="006C0FE9">
        <w:rPr>
          <w:sz w:val="22"/>
          <w:szCs w:val="22"/>
        </w:rPr>
        <w:t>:</w:t>
      </w:r>
      <w:r w:rsidR="00E17EA0" w:rsidRPr="006C0FE9">
        <w:rPr>
          <w:sz w:val="22"/>
          <w:szCs w:val="22"/>
        </w:rPr>
        <w:t xml:space="preserve"> </w:t>
      </w:r>
      <w:r w:rsidRPr="006C0FE9">
        <w:rPr>
          <w:sz w:val="22"/>
          <w:szCs w:val="22"/>
        </w:rPr>
        <w:t>101-127.</w:t>
      </w:r>
    </w:p>
    <w:p w14:paraId="34617BA8" w14:textId="00EB0B78" w:rsidR="003B78EA" w:rsidRPr="000B72C9" w:rsidRDefault="003B78EA" w:rsidP="003A5E29">
      <w:pPr>
        <w:spacing w:after="120"/>
        <w:jc w:val="both"/>
        <w:rPr>
          <w:sz w:val="22"/>
          <w:szCs w:val="22"/>
          <w:lang w:val="en-US"/>
        </w:rPr>
      </w:pPr>
      <w:r w:rsidRPr="006C0FE9">
        <w:rPr>
          <w:sz w:val="22"/>
          <w:szCs w:val="22"/>
        </w:rPr>
        <w:t>Th</w:t>
      </w:r>
      <w:r w:rsidRPr="003B78EA">
        <w:rPr>
          <w:sz w:val="22"/>
          <w:szCs w:val="22"/>
          <w:lang w:val="en-US"/>
        </w:rPr>
        <w:t>é</w:t>
      </w:r>
      <w:r>
        <w:rPr>
          <w:sz w:val="22"/>
          <w:szCs w:val="22"/>
          <w:lang w:val="en-US"/>
        </w:rPr>
        <w:t xml:space="preserve">baud, F. (2014). ‘Understanding twentieth-century wars through women and gender: </w:t>
      </w:r>
      <w:r w:rsidRPr="000B72C9">
        <w:rPr>
          <w:sz w:val="22"/>
          <w:szCs w:val="22"/>
          <w:lang w:val="en-US"/>
        </w:rPr>
        <w:t xml:space="preserve">forty years of historiography’, </w:t>
      </w:r>
      <w:r w:rsidRPr="000B72C9">
        <w:rPr>
          <w:i/>
          <w:sz w:val="22"/>
          <w:szCs w:val="22"/>
          <w:lang w:val="en-US"/>
        </w:rPr>
        <w:t xml:space="preserve">Clio </w:t>
      </w:r>
      <w:r w:rsidRPr="000B72C9">
        <w:rPr>
          <w:sz w:val="22"/>
          <w:szCs w:val="22"/>
          <w:lang w:val="en-US"/>
        </w:rPr>
        <w:t>39.1: 157-182.</w:t>
      </w:r>
    </w:p>
    <w:p w14:paraId="1C97D390" w14:textId="77777777" w:rsidR="000B72C9" w:rsidRPr="000B72C9" w:rsidRDefault="000B72C9" w:rsidP="000B72C9">
      <w:pPr>
        <w:rPr>
          <w:sz w:val="22"/>
          <w:szCs w:val="22"/>
          <w:lang w:val="en-US"/>
        </w:rPr>
      </w:pPr>
    </w:p>
    <w:p w14:paraId="12F36DD9" w14:textId="77777777" w:rsidR="000B72C9" w:rsidRPr="000B72C9" w:rsidRDefault="000B72C9" w:rsidP="000B72C9">
      <w:pPr>
        <w:rPr>
          <w:sz w:val="22"/>
          <w:szCs w:val="22"/>
          <w:lang w:val="en-US"/>
        </w:rPr>
      </w:pPr>
      <w:r w:rsidRPr="000B72C9">
        <w:rPr>
          <w:sz w:val="22"/>
          <w:szCs w:val="22"/>
          <w:lang w:val="en-US"/>
        </w:rPr>
        <w:t xml:space="preserve">Timm, A. F. and Sandborn, J. A. 2016. </w:t>
      </w:r>
      <w:r w:rsidRPr="000B72C9">
        <w:rPr>
          <w:i/>
          <w:sz w:val="22"/>
          <w:szCs w:val="22"/>
          <w:lang w:val="en-US"/>
        </w:rPr>
        <w:t>Gender, sex and the shaping of modern Europe</w:t>
      </w:r>
      <w:r w:rsidRPr="000B72C9">
        <w:rPr>
          <w:sz w:val="22"/>
          <w:szCs w:val="22"/>
          <w:lang w:val="en-US"/>
        </w:rPr>
        <w:t xml:space="preserve">. New York/Oxford: Berghahn Books. </w:t>
      </w:r>
    </w:p>
    <w:p w14:paraId="1FC9D25C" w14:textId="77777777" w:rsidR="000B72C9" w:rsidRPr="000B72C9" w:rsidRDefault="000B72C9" w:rsidP="008F4925">
      <w:pPr>
        <w:spacing w:after="120"/>
        <w:jc w:val="both"/>
        <w:rPr>
          <w:sz w:val="22"/>
          <w:szCs w:val="22"/>
        </w:rPr>
      </w:pPr>
    </w:p>
    <w:p w14:paraId="124F611A" w14:textId="45B3A8A9" w:rsidR="00D22E94" w:rsidRDefault="00907E1A" w:rsidP="008F4925">
      <w:pPr>
        <w:spacing w:after="120"/>
        <w:jc w:val="both"/>
      </w:pPr>
      <w:r w:rsidRPr="00057D56">
        <w:rPr>
          <w:sz w:val="22"/>
          <w:szCs w:val="22"/>
        </w:rPr>
        <w:t>W</w:t>
      </w:r>
      <w:r>
        <w:rPr>
          <w:sz w:val="22"/>
          <w:szCs w:val="22"/>
        </w:rPr>
        <w:t>inter</w:t>
      </w:r>
      <w:r w:rsidR="003B78EA">
        <w:rPr>
          <w:sz w:val="22"/>
          <w:szCs w:val="22"/>
        </w:rPr>
        <w:t>,</w:t>
      </w:r>
      <w:r w:rsidRPr="00907E1A">
        <w:rPr>
          <w:sz w:val="22"/>
          <w:szCs w:val="22"/>
        </w:rPr>
        <w:t xml:space="preserve"> </w:t>
      </w:r>
      <w:r w:rsidRPr="00057D56">
        <w:rPr>
          <w:sz w:val="22"/>
          <w:szCs w:val="22"/>
        </w:rPr>
        <w:t>J</w:t>
      </w:r>
      <w:r w:rsidR="003B78EA">
        <w:rPr>
          <w:sz w:val="22"/>
          <w:szCs w:val="22"/>
        </w:rPr>
        <w:t>. (1992). ‘</w:t>
      </w:r>
      <w:r w:rsidRPr="00057D56">
        <w:rPr>
          <w:sz w:val="22"/>
          <w:szCs w:val="22"/>
        </w:rPr>
        <w:t>War, family, and fertility in Twentieth-Century Europe</w:t>
      </w:r>
      <w:r w:rsidR="003B78EA">
        <w:rPr>
          <w:sz w:val="22"/>
          <w:szCs w:val="22"/>
        </w:rPr>
        <w:t xml:space="preserve">’, </w:t>
      </w:r>
      <w:r w:rsidRPr="00057D56">
        <w:rPr>
          <w:sz w:val="22"/>
          <w:szCs w:val="22"/>
        </w:rPr>
        <w:t>, in J.R. Gillis, L. A Tilly</w:t>
      </w:r>
      <w:r w:rsidR="003B78EA">
        <w:rPr>
          <w:sz w:val="22"/>
          <w:szCs w:val="22"/>
        </w:rPr>
        <w:t xml:space="preserve"> and</w:t>
      </w:r>
      <w:r w:rsidRPr="00057D56">
        <w:rPr>
          <w:sz w:val="22"/>
          <w:szCs w:val="22"/>
        </w:rPr>
        <w:t xml:space="preserve"> D. Levine (eds), </w:t>
      </w:r>
      <w:r w:rsidRPr="003B78EA">
        <w:rPr>
          <w:i/>
          <w:sz w:val="22"/>
          <w:szCs w:val="22"/>
        </w:rPr>
        <w:t>The European experience of declining fertility, 1850-1970</w:t>
      </w:r>
      <w:r w:rsidRPr="00057D56">
        <w:rPr>
          <w:sz w:val="22"/>
          <w:szCs w:val="22"/>
        </w:rPr>
        <w:t xml:space="preserve">. </w:t>
      </w:r>
      <w:r w:rsidRPr="003B78EA">
        <w:rPr>
          <w:i/>
          <w:sz w:val="22"/>
          <w:szCs w:val="22"/>
        </w:rPr>
        <w:t>The q</w:t>
      </w:r>
      <w:bookmarkStart w:id="0" w:name="_GoBack"/>
      <w:bookmarkEnd w:id="0"/>
      <w:r w:rsidRPr="003B78EA">
        <w:rPr>
          <w:i/>
          <w:sz w:val="22"/>
          <w:szCs w:val="22"/>
        </w:rPr>
        <w:t>uiet revolution</w:t>
      </w:r>
      <w:r w:rsidR="003B78EA">
        <w:rPr>
          <w:sz w:val="22"/>
          <w:szCs w:val="22"/>
        </w:rPr>
        <w:t>.</w:t>
      </w:r>
      <w:r w:rsidRPr="00057D56">
        <w:rPr>
          <w:sz w:val="22"/>
          <w:szCs w:val="22"/>
        </w:rPr>
        <w:t xml:space="preserve"> Cambridge</w:t>
      </w:r>
      <w:r w:rsidR="003B78EA">
        <w:rPr>
          <w:sz w:val="22"/>
          <w:szCs w:val="22"/>
        </w:rPr>
        <w:t xml:space="preserve"> MA,</w:t>
      </w:r>
      <w:r w:rsidRPr="00057D56">
        <w:rPr>
          <w:sz w:val="22"/>
          <w:szCs w:val="22"/>
        </w:rPr>
        <w:t xml:space="preserve"> Blackwell</w:t>
      </w:r>
      <w:r w:rsidR="003B78EA">
        <w:rPr>
          <w:sz w:val="22"/>
          <w:szCs w:val="22"/>
        </w:rPr>
        <w:t>:</w:t>
      </w:r>
      <w:r w:rsidR="003B78EA" w:rsidRPr="003B78EA">
        <w:rPr>
          <w:sz w:val="22"/>
          <w:szCs w:val="22"/>
        </w:rPr>
        <w:t xml:space="preserve"> </w:t>
      </w:r>
      <w:r w:rsidR="003B78EA">
        <w:rPr>
          <w:sz w:val="22"/>
          <w:szCs w:val="22"/>
        </w:rPr>
        <w:t>291-309.</w:t>
      </w:r>
    </w:p>
    <w:sectPr w:rsidR="00D22E94" w:rsidSect="00D22E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29"/>
    <w:rsid w:val="00057D56"/>
    <w:rsid w:val="000B72C9"/>
    <w:rsid w:val="00157CAB"/>
    <w:rsid w:val="00246510"/>
    <w:rsid w:val="003A5E29"/>
    <w:rsid w:val="003B78EA"/>
    <w:rsid w:val="00463184"/>
    <w:rsid w:val="0051177A"/>
    <w:rsid w:val="00530B57"/>
    <w:rsid w:val="0058356C"/>
    <w:rsid w:val="006C0FE9"/>
    <w:rsid w:val="006E3F3E"/>
    <w:rsid w:val="006E609F"/>
    <w:rsid w:val="007753C2"/>
    <w:rsid w:val="008F4925"/>
    <w:rsid w:val="00907E1A"/>
    <w:rsid w:val="00A64E82"/>
    <w:rsid w:val="00A669D7"/>
    <w:rsid w:val="00B83469"/>
    <w:rsid w:val="00C71DB9"/>
    <w:rsid w:val="00D22E94"/>
    <w:rsid w:val="00E17EA0"/>
    <w:rsid w:val="00EE788B"/>
    <w:rsid w:val="00FF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435E3"/>
  <w14:defaultImageDpi w14:val="300"/>
  <w15:docId w15:val="{3E9DC5F2-5454-405F-B5E1-59458A33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5E29"/>
    <w:rPr>
      <w:lang w:val="en-GB"/>
    </w:rPr>
  </w:style>
  <w:style w:type="paragraph" w:styleId="Kop1">
    <w:name w:val="heading 1"/>
    <w:basedOn w:val="Standaard"/>
    <w:next w:val="Standaard"/>
    <w:link w:val="Kop1Char"/>
    <w:uiPriority w:val="9"/>
    <w:qFormat/>
    <w:rsid w:val="003A5E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A5E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5E29"/>
    <w:rPr>
      <w:rFonts w:asciiTheme="majorHAnsi" w:eastAsiaTheme="majorEastAsia" w:hAnsiTheme="majorHAnsi" w:cstheme="majorBidi"/>
      <w:color w:val="365F91" w:themeColor="accent1" w:themeShade="BF"/>
      <w:sz w:val="32"/>
      <w:szCs w:val="32"/>
      <w:lang w:val="en-GB"/>
    </w:rPr>
  </w:style>
  <w:style w:type="character" w:customStyle="1" w:styleId="Kop2Char">
    <w:name w:val="Kop 2 Char"/>
    <w:basedOn w:val="Standaardalinea-lettertype"/>
    <w:link w:val="Kop2"/>
    <w:uiPriority w:val="9"/>
    <w:rsid w:val="003A5E29"/>
    <w:rPr>
      <w:rFonts w:asciiTheme="majorHAnsi" w:eastAsiaTheme="majorEastAsia" w:hAnsiTheme="majorHAnsi" w:cstheme="majorBidi"/>
      <w:b/>
      <w:bCs/>
      <w:color w:val="4F81BD" w:themeColor="accent1"/>
      <w:sz w:val="26"/>
      <w:szCs w:val="26"/>
      <w:lang w:val="en-GB"/>
    </w:rPr>
  </w:style>
  <w:style w:type="paragraph" w:styleId="Lijstalinea">
    <w:name w:val="List Paragraph"/>
    <w:basedOn w:val="Standaard"/>
    <w:uiPriority w:val="34"/>
    <w:qFormat/>
    <w:rsid w:val="003A5E29"/>
    <w:pPr>
      <w:ind w:left="720"/>
      <w:contextualSpacing/>
    </w:pPr>
  </w:style>
  <w:style w:type="character" w:styleId="Voetnootmarkering">
    <w:name w:val="footnote reference"/>
    <w:basedOn w:val="Standaardalinea-lettertype"/>
    <w:uiPriority w:val="99"/>
    <w:unhideWhenUsed/>
    <w:rsid w:val="003A5E29"/>
    <w:rPr>
      <w:vertAlign w:val="superscript"/>
    </w:rPr>
  </w:style>
  <w:style w:type="character" w:customStyle="1" w:styleId="italique1">
    <w:name w:val="italique1"/>
    <w:basedOn w:val="Standaardalinea-lettertype"/>
    <w:rsid w:val="003A5E29"/>
    <w:rPr>
      <w:i/>
      <w:iCs/>
    </w:rPr>
  </w:style>
  <w:style w:type="character" w:customStyle="1" w:styleId="marquage">
    <w:name w:val="marquage"/>
    <w:basedOn w:val="Standaardalinea-lettertype"/>
    <w:rsid w:val="003A5E29"/>
  </w:style>
  <w:style w:type="character" w:styleId="Subtielebenadrukking">
    <w:name w:val="Subtle Emphasis"/>
    <w:basedOn w:val="Standaardalinea-lettertype"/>
    <w:uiPriority w:val="19"/>
    <w:qFormat/>
    <w:rsid w:val="003A5E29"/>
    <w:rPr>
      <w:i/>
      <w:iCs/>
      <w:color w:val="404040" w:themeColor="text1" w:themeTint="BF"/>
    </w:rPr>
  </w:style>
  <w:style w:type="character" w:styleId="Verwijzingopmerking">
    <w:name w:val="annotation reference"/>
    <w:basedOn w:val="Standaardalinea-lettertype"/>
    <w:uiPriority w:val="99"/>
    <w:semiHidden/>
    <w:unhideWhenUsed/>
    <w:rsid w:val="00EE788B"/>
    <w:rPr>
      <w:sz w:val="16"/>
      <w:szCs w:val="16"/>
    </w:rPr>
  </w:style>
  <w:style w:type="paragraph" w:styleId="Tekstopmerking">
    <w:name w:val="annotation text"/>
    <w:basedOn w:val="Standaard"/>
    <w:link w:val="TekstopmerkingChar"/>
    <w:uiPriority w:val="99"/>
    <w:semiHidden/>
    <w:unhideWhenUsed/>
    <w:rsid w:val="00EE788B"/>
    <w:rPr>
      <w:sz w:val="20"/>
      <w:szCs w:val="20"/>
    </w:rPr>
  </w:style>
  <w:style w:type="character" w:customStyle="1" w:styleId="TekstopmerkingChar">
    <w:name w:val="Tekst opmerking Char"/>
    <w:basedOn w:val="Standaardalinea-lettertype"/>
    <w:link w:val="Tekstopmerking"/>
    <w:uiPriority w:val="99"/>
    <w:semiHidden/>
    <w:rsid w:val="00EE788B"/>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E788B"/>
    <w:rPr>
      <w:b/>
      <w:bCs/>
    </w:rPr>
  </w:style>
  <w:style w:type="character" w:customStyle="1" w:styleId="OnderwerpvanopmerkingChar">
    <w:name w:val="Onderwerp van opmerking Char"/>
    <w:basedOn w:val="TekstopmerkingChar"/>
    <w:link w:val="Onderwerpvanopmerking"/>
    <w:uiPriority w:val="99"/>
    <w:semiHidden/>
    <w:rsid w:val="00EE788B"/>
    <w:rPr>
      <w:b/>
      <w:bCs/>
      <w:sz w:val="20"/>
      <w:szCs w:val="20"/>
      <w:lang w:val="en-GB"/>
    </w:rPr>
  </w:style>
  <w:style w:type="paragraph" w:styleId="Ballontekst">
    <w:name w:val="Balloon Text"/>
    <w:basedOn w:val="Standaard"/>
    <w:link w:val="BallontekstChar"/>
    <w:uiPriority w:val="99"/>
    <w:semiHidden/>
    <w:unhideWhenUsed/>
    <w:rsid w:val="00EE78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788B"/>
    <w:rPr>
      <w:rFonts w:ascii="Segoe UI" w:hAnsi="Segoe UI" w:cs="Segoe UI"/>
      <w:sz w:val="18"/>
      <w:szCs w:val="18"/>
      <w:lang w:val="en-GB"/>
    </w:rPr>
  </w:style>
  <w:style w:type="character" w:customStyle="1" w:styleId="go1">
    <w:name w:val="go1"/>
    <w:basedOn w:val="Standaardalinea-lettertype"/>
    <w:rsid w:val="00246510"/>
    <w:rPr>
      <w:rFonts w:ascii="Arial" w:hAnsi="Arial" w:cs="Arial" w:hint="default"/>
      <w:b/>
      <w:bCs/>
      <w:i w:val="0"/>
      <w:iCs w:val="0"/>
      <w:strike w:val="0"/>
      <w:dstrike w:val="0"/>
      <w:color w:val="00337F"/>
      <w:sz w:val="20"/>
      <w:szCs w:val="20"/>
      <w:u w:val="none"/>
      <w:effect w:val="none"/>
    </w:rPr>
  </w:style>
  <w:style w:type="character" w:styleId="Hyperlink">
    <w:name w:val="Hyperlink"/>
    <w:basedOn w:val="Standaardalinea-lettertype"/>
    <w:uiPriority w:val="99"/>
    <w:unhideWhenUsed/>
    <w:rsid w:val="00775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reatwarfrombelow.org" TargetMode="External"/><Relationship Id="rId4" Type="http://schemas.openxmlformats.org/officeDocument/2006/relationships/hyperlink" Target="https://soc.kuleuven.be/ceso/historischedemografie/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1741</Words>
  <Characters>9577</Characters>
  <Application>Microsoft Office Word</Application>
  <DocSecurity>0</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u0097059</cp:lastModifiedBy>
  <cp:revision>3</cp:revision>
  <dcterms:created xsi:type="dcterms:W3CDTF">2016-12-05T13:58:00Z</dcterms:created>
  <dcterms:modified xsi:type="dcterms:W3CDTF">2016-12-12T15:29:00Z</dcterms:modified>
</cp:coreProperties>
</file>